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F8445" w14:textId="55F893F4" w:rsidR="006E769D" w:rsidRDefault="00F46E8F" w:rsidP="006E769D">
      <w:pPr>
        <w:jc w:val="center"/>
        <w:rPr>
          <w:b/>
          <w:bCs/>
          <w:sz w:val="32"/>
          <w:szCs w:val="32"/>
        </w:rPr>
      </w:pPr>
      <w:r>
        <w:rPr>
          <w:b/>
          <w:bCs/>
          <w:sz w:val="32"/>
          <w:szCs w:val="32"/>
        </w:rPr>
        <w:t>Public</w:t>
      </w:r>
      <w:r w:rsidR="006E769D">
        <w:rPr>
          <w:b/>
          <w:bCs/>
          <w:sz w:val="32"/>
          <w:szCs w:val="32"/>
        </w:rPr>
        <w:t xml:space="preserve"> Quarterly Report</w:t>
      </w:r>
    </w:p>
    <w:p w14:paraId="5411FC71" w14:textId="77777777" w:rsidR="006E769D" w:rsidRPr="00024B41" w:rsidRDefault="006E769D" w:rsidP="006E769D">
      <w:pPr>
        <w:ind w:left="720"/>
        <w:rPr>
          <w:sz w:val="22"/>
        </w:rPr>
      </w:pPr>
      <w:r>
        <w:t> </w:t>
      </w:r>
    </w:p>
    <w:p w14:paraId="510E6FCA" w14:textId="02DEB348" w:rsidR="006E769D" w:rsidRPr="0054195E" w:rsidRDefault="006E769D" w:rsidP="006E769D">
      <w:pPr>
        <w:pStyle w:val="NoSpacing"/>
      </w:pPr>
      <w:r w:rsidRPr="0054195E">
        <w:rPr>
          <w:b/>
        </w:rPr>
        <w:t>Date of Report:</w:t>
      </w:r>
      <w:r w:rsidRPr="0054195E">
        <w:t xml:space="preserve"> </w:t>
      </w:r>
      <w:r>
        <w:rPr>
          <w:i/>
        </w:rPr>
        <w:t>June 30, 2025 (</w:t>
      </w:r>
      <w:r w:rsidR="00A56E55">
        <w:rPr>
          <w:i/>
        </w:rPr>
        <w:t>3</w:t>
      </w:r>
      <w:r>
        <w:rPr>
          <w:i/>
        </w:rPr>
        <w:t>r</w:t>
      </w:r>
      <w:r w:rsidRPr="001A6590">
        <w:rPr>
          <w:i/>
          <w:vertAlign w:val="superscript"/>
        </w:rPr>
        <w:t>nd</w:t>
      </w:r>
      <w:r>
        <w:rPr>
          <w:i/>
        </w:rPr>
        <w:t xml:space="preserve"> Quarterly Report)</w:t>
      </w:r>
    </w:p>
    <w:p w14:paraId="31E37213" w14:textId="77777777" w:rsidR="006E769D" w:rsidRPr="0054195E" w:rsidRDefault="006E769D" w:rsidP="006E769D">
      <w:pPr>
        <w:pStyle w:val="NoSpacing"/>
      </w:pPr>
      <w:r w:rsidRPr="0054195E">
        <w:rPr>
          <w:b/>
        </w:rPr>
        <w:t>Contract Number</w:t>
      </w:r>
      <w:proofErr w:type="gramStart"/>
      <w:r w:rsidRPr="0054195E">
        <w:rPr>
          <w:b/>
        </w:rPr>
        <w:t>:</w:t>
      </w:r>
      <w:r w:rsidRPr="0054195E">
        <w:t xml:space="preserve">  </w:t>
      </w:r>
      <w:r w:rsidRPr="00A81B61">
        <w:rPr>
          <w:i/>
        </w:rPr>
        <w:t>693JK32410006POTA</w:t>
      </w:r>
      <w:proofErr w:type="gramEnd"/>
    </w:p>
    <w:p w14:paraId="7D9C06A2" w14:textId="77777777" w:rsidR="006E769D" w:rsidRPr="0054195E" w:rsidRDefault="006E769D" w:rsidP="006E769D">
      <w:pPr>
        <w:pStyle w:val="NoSpacing"/>
      </w:pPr>
      <w:r w:rsidRPr="0054195E">
        <w:rPr>
          <w:b/>
        </w:rPr>
        <w:t>Prepared for:</w:t>
      </w:r>
      <w:r w:rsidRPr="0054195E">
        <w:t xml:space="preserve"> </w:t>
      </w:r>
      <w:r>
        <w:rPr>
          <w:i/>
        </w:rPr>
        <w:t>PHMSA</w:t>
      </w:r>
    </w:p>
    <w:p w14:paraId="65B77CD8" w14:textId="77777777" w:rsidR="006E769D" w:rsidRPr="00A81B61" w:rsidRDefault="006E769D" w:rsidP="006E769D">
      <w:pPr>
        <w:pStyle w:val="NoSpacing"/>
        <w:rPr>
          <w:i/>
        </w:rPr>
      </w:pPr>
      <w:r w:rsidRPr="0054195E">
        <w:rPr>
          <w:b/>
        </w:rPr>
        <w:t>Project Title:</w:t>
      </w:r>
      <w:r w:rsidRPr="0054195E">
        <w:t xml:space="preserve"> </w:t>
      </w:r>
      <w:r w:rsidRPr="00A81B61">
        <w:rPr>
          <w:i/>
        </w:rPr>
        <w:t>Advanced Leak Detection Capabilities for Compressible Hydrocarbon Products</w:t>
      </w:r>
    </w:p>
    <w:p w14:paraId="4B3D5E62" w14:textId="77777777" w:rsidR="006E769D" w:rsidRPr="0054195E" w:rsidRDefault="006E769D" w:rsidP="006E769D">
      <w:pPr>
        <w:pStyle w:val="NoSpacing"/>
      </w:pPr>
      <w:r w:rsidRPr="0054195E">
        <w:rPr>
          <w:b/>
        </w:rPr>
        <w:t>Prepared by</w:t>
      </w:r>
      <w:proofErr w:type="gramStart"/>
      <w:r w:rsidRPr="0054195E">
        <w:rPr>
          <w:b/>
        </w:rPr>
        <w:t>:</w:t>
      </w:r>
      <w:r w:rsidRPr="0054195E">
        <w:t xml:space="preserve">  </w:t>
      </w:r>
      <w:r>
        <w:rPr>
          <w:i/>
        </w:rPr>
        <w:t>Flowstate</w:t>
      </w:r>
      <w:proofErr w:type="gramEnd"/>
      <w:r>
        <w:rPr>
          <w:i/>
        </w:rPr>
        <w:t xml:space="preserve"> Solutions</w:t>
      </w:r>
    </w:p>
    <w:p w14:paraId="0C5AAF5E" w14:textId="77777777" w:rsidR="006E769D" w:rsidRPr="0054195E" w:rsidRDefault="006E769D" w:rsidP="006E769D">
      <w:pPr>
        <w:pStyle w:val="NoSpacing"/>
      </w:pPr>
      <w:r w:rsidRPr="0054195E">
        <w:rPr>
          <w:b/>
        </w:rPr>
        <w:t>Contact Information:</w:t>
      </w:r>
      <w:r w:rsidRPr="0054195E">
        <w:t> </w:t>
      </w:r>
      <w:r w:rsidRPr="001127DB">
        <w:rPr>
          <w:i/>
        </w:rPr>
        <w:t xml:space="preserve"> </w:t>
      </w:r>
      <w:r>
        <w:rPr>
          <w:i/>
        </w:rPr>
        <w:t xml:space="preserve">Braden Fitz-Gerald | </w:t>
      </w:r>
      <w:hyperlink r:id="rId10" w:history="1">
        <w:r w:rsidRPr="00D01D58">
          <w:rPr>
            <w:rStyle w:val="Hyperlink"/>
            <w:i/>
          </w:rPr>
          <w:t>braden.fitzgerald@flowstatesolutions.ai</w:t>
        </w:r>
      </w:hyperlink>
      <w:r>
        <w:rPr>
          <w:i/>
        </w:rPr>
        <w:t xml:space="preserve"> | 307-399-7516</w:t>
      </w:r>
    </w:p>
    <w:p w14:paraId="0E0673DB" w14:textId="77777777" w:rsidR="006E769D" w:rsidRPr="0054195E" w:rsidRDefault="006E769D" w:rsidP="006E769D">
      <w:pPr>
        <w:pStyle w:val="NoSpacing"/>
      </w:pPr>
      <w:r w:rsidRPr="0054195E">
        <w:rPr>
          <w:b/>
        </w:rPr>
        <w:t>For quarterly period ending</w:t>
      </w:r>
      <w:proofErr w:type="gramStart"/>
      <w:r w:rsidRPr="0054195E">
        <w:rPr>
          <w:b/>
        </w:rPr>
        <w:t>:</w:t>
      </w:r>
      <w:r w:rsidRPr="0054195E">
        <w:t xml:space="preserve">  </w:t>
      </w:r>
      <w:r>
        <w:rPr>
          <w:i/>
        </w:rPr>
        <w:t>June</w:t>
      </w:r>
      <w:proofErr w:type="gramEnd"/>
      <w:r>
        <w:rPr>
          <w:i/>
        </w:rPr>
        <w:t xml:space="preserve"> 30, 2025</w:t>
      </w:r>
    </w:p>
    <w:p w14:paraId="28974FB5" w14:textId="77777777" w:rsidR="006E769D" w:rsidRDefault="006E769D" w:rsidP="006E769D">
      <w:pPr>
        <w:pStyle w:val="NoSpacing"/>
        <w:rPr>
          <w:b/>
        </w:rPr>
      </w:pPr>
    </w:p>
    <w:p w14:paraId="4FD9A09B" w14:textId="77777777" w:rsidR="006E769D" w:rsidRPr="00C52D47" w:rsidRDefault="006E769D" w:rsidP="006E769D">
      <w:pPr>
        <w:pStyle w:val="NoSpacing"/>
        <w:rPr>
          <w:i/>
          <w:sz w:val="22"/>
        </w:rPr>
      </w:pPr>
      <w:r>
        <w:rPr>
          <w:b/>
        </w:rPr>
        <w:t xml:space="preserve">1: </w:t>
      </w:r>
      <w:proofErr w:type="gramStart"/>
      <w:r>
        <w:rPr>
          <w:b/>
        </w:rPr>
        <w:t xml:space="preserve">Items </w:t>
      </w:r>
      <w:r w:rsidRPr="00A7663D">
        <w:rPr>
          <w:b/>
        </w:rPr>
        <w:t>Completed</w:t>
      </w:r>
      <w:proofErr w:type="gramEnd"/>
      <w:r w:rsidRPr="00A7663D">
        <w:rPr>
          <w:b/>
        </w:rPr>
        <w:t xml:space="preserve"> During this Quarterly Period:</w:t>
      </w:r>
    </w:p>
    <w:p w14:paraId="6AF32995" w14:textId="77777777" w:rsidR="006E769D" w:rsidRDefault="006E769D" w:rsidP="006E769D">
      <w:pPr>
        <w:pStyle w:val="NoSpacing"/>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698"/>
        <w:gridCol w:w="3949"/>
        <w:gridCol w:w="2175"/>
        <w:gridCol w:w="1312"/>
        <w:gridCol w:w="1175"/>
      </w:tblGrid>
      <w:tr w:rsidR="006E769D" w:rsidRPr="003D7597" w14:paraId="46BF3346" w14:textId="77777777" w:rsidTr="008D2C3C">
        <w:trPr>
          <w:trHeight w:val="300"/>
        </w:trPr>
        <w:tc>
          <w:tcPr>
            <w:tcW w:w="671" w:type="dxa"/>
            <w:shd w:val="clear" w:color="auto" w:fill="auto"/>
          </w:tcPr>
          <w:p w14:paraId="0D8F19B7" w14:textId="77777777" w:rsidR="006E769D" w:rsidRPr="003D7597" w:rsidRDefault="006E769D" w:rsidP="008D2C3C">
            <w:pPr>
              <w:pStyle w:val="NoSpacing"/>
              <w:rPr>
                <w:b/>
                <w:i/>
              </w:rPr>
            </w:pPr>
            <w:r w:rsidRPr="003D7597">
              <w:rPr>
                <w:b/>
                <w:i/>
              </w:rPr>
              <w:t>Item #</w:t>
            </w:r>
          </w:p>
        </w:tc>
        <w:tc>
          <w:tcPr>
            <w:tcW w:w="698" w:type="dxa"/>
          </w:tcPr>
          <w:p w14:paraId="45DA3A33" w14:textId="77777777" w:rsidR="006E769D" w:rsidRPr="003D7597" w:rsidRDefault="006E769D" w:rsidP="008D2C3C">
            <w:pPr>
              <w:pStyle w:val="NoSpacing"/>
              <w:rPr>
                <w:b/>
                <w:i/>
              </w:rPr>
            </w:pPr>
            <w:r>
              <w:rPr>
                <w:b/>
                <w:i/>
              </w:rPr>
              <w:t>Task #</w:t>
            </w:r>
          </w:p>
        </w:tc>
        <w:tc>
          <w:tcPr>
            <w:tcW w:w="3949" w:type="dxa"/>
            <w:shd w:val="clear" w:color="auto" w:fill="auto"/>
          </w:tcPr>
          <w:p w14:paraId="5FF7A39F" w14:textId="77777777" w:rsidR="006E769D" w:rsidRPr="003D7597" w:rsidRDefault="006E769D" w:rsidP="008D2C3C">
            <w:pPr>
              <w:pStyle w:val="NoSpacing"/>
              <w:rPr>
                <w:b/>
                <w:i/>
              </w:rPr>
            </w:pPr>
            <w:r w:rsidRPr="003D7597">
              <w:rPr>
                <w:b/>
                <w:i/>
              </w:rPr>
              <w:t>Activity/Deliverable</w:t>
            </w:r>
          </w:p>
        </w:tc>
        <w:tc>
          <w:tcPr>
            <w:tcW w:w="2175" w:type="dxa"/>
            <w:shd w:val="clear" w:color="auto" w:fill="auto"/>
          </w:tcPr>
          <w:p w14:paraId="3A4CF696" w14:textId="77777777" w:rsidR="006E769D" w:rsidRPr="003D7597" w:rsidRDefault="006E769D" w:rsidP="008D2C3C">
            <w:pPr>
              <w:pStyle w:val="NoSpacing"/>
              <w:rPr>
                <w:b/>
                <w:i/>
              </w:rPr>
            </w:pPr>
            <w:r w:rsidRPr="003D7597">
              <w:rPr>
                <w:b/>
                <w:i/>
              </w:rPr>
              <w:t>Title</w:t>
            </w:r>
          </w:p>
        </w:tc>
        <w:tc>
          <w:tcPr>
            <w:tcW w:w="1312" w:type="dxa"/>
            <w:shd w:val="clear" w:color="auto" w:fill="auto"/>
          </w:tcPr>
          <w:p w14:paraId="359C9A94" w14:textId="77777777" w:rsidR="006E769D" w:rsidRPr="003D7597" w:rsidRDefault="006E769D" w:rsidP="008D2C3C">
            <w:pPr>
              <w:pStyle w:val="NoSpacing"/>
              <w:rPr>
                <w:b/>
                <w:i/>
              </w:rPr>
            </w:pPr>
            <w:r w:rsidRPr="003D7597">
              <w:rPr>
                <w:b/>
                <w:i/>
              </w:rPr>
              <w:t>Federal Cost</w:t>
            </w:r>
          </w:p>
        </w:tc>
        <w:tc>
          <w:tcPr>
            <w:tcW w:w="1175" w:type="dxa"/>
            <w:shd w:val="clear" w:color="auto" w:fill="auto"/>
          </w:tcPr>
          <w:p w14:paraId="53E3018C" w14:textId="77777777" w:rsidR="006E769D" w:rsidRPr="003D7597" w:rsidRDefault="006E769D" w:rsidP="008D2C3C">
            <w:pPr>
              <w:pStyle w:val="NoSpacing"/>
              <w:rPr>
                <w:b/>
                <w:i/>
              </w:rPr>
            </w:pPr>
            <w:r w:rsidRPr="003D7597">
              <w:rPr>
                <w:b/>
                <w:i/>
              </w:rPr>
              <w:t>Cost Share</w:t>
            </w:r>
          </w:p>
        </w:tc>
      </w:tr>
      <w:tr w:rsidR="006E769D" w:rsidRPr="003D7597" w14:paraId="54BEADA0" w14:textId="77777777" w:rsidTr="008D2C3C">
        <w:trPr>
          <w:trHeight w:val="289"/>
        </w:trPr>
        <w:tc>
          <w:tcPr>
            <w:tcW w:w="671" w:type="dxa"/>
            <w:shd w:val="clear" w:color="auto" w:fill="auto"/>
          </w:tcPr>
          <w:p w14:paraId="301ECEFC" w14:textId="77777777" w:rsidR="006E769D" w:rsidRPr="003D7597" w:rsidRDefault="006E769D" w:rsidP="008D2C3C">
            <w:pPr>
              <w:pStyle w:val="NoSpacing"/>
              <w:rPr>
                <w:b/>
                <w:i/>
              </w:rPr>
            </w:pPr>
            <w:r>
              <w:rPr>
                <w:b/>
                <w:i/>
              </w:rPr>
              <w:t>6</w:t>
            </w:r>
          </w:p>
        </w:tc>
        <w:tc>
          <w:tcPr>
            <w:tcW w:w="698" w:type="dxa"/>
          </w:tcPr>
          <w:p w14:paraId="28F7691F" w14:textId="77777777" w:rsidR="006E769D" w:rsidRPr="003D7597" w:rsidRDefault="006E769D" w:rsidP="008D2C3C">
            <w:pPr>
              <w:pStyle w:val="NoSpacing"/>
              <w:rPr>
                <w:b/>
                <w:i/>
              </w:rPr>
            </w:pPr>
            <w:r>
              <w:rPr>
                <w:b/>
                <w:i/>
              </w:rPr>
              <w:t>2</w:t>
            </w:r>
          </w:p>
        </w:tc>
        <w:tc>
          <w:tcPr>
            <w:tcW w:w="3949" w:type="dxa"/>
            <w:shd w:val="clear" w:color="auto" w:fill="auto"/>
          </w:tcPr>
          <w:p w14:paraId="3688A05B" w14:textId="77777777" w:rsidR="006E769D" w:rsidRPr="001A6590" w:rsidRDefault="006E769D" w:rsidP="008D2C3C">
            <w:pPr>
              <w:pStyle w:val="NoSpacing"/>
              <w:rPr>
                <w:b/>
                <w:i/>
              </w:rPr>
            </w:pPr>
            <w:r w:rsidRPr="00F5675C">
              <w:rPr>
                <w:b/>
                <w:i/>
              </w:rPr>
              <w:t>Collect operational data from multiple pipeline assets to understand normal behavior and reduce false positives in leak detection. Establishing a comprehensive dataset of normal behavior is essential for accurate leak detection.</w:t>
            </w:r>
          </w:p>
        </w:tc>
        <w:tc>
          <w:tcPr>
            <w:tcW w:w="2175" w:type="dxa"/>
            <w:shd w:val="clear" w:color="auto" w:fill="auto"/>
          </w:tcPr>
          <w:p w14:paraId="327C9196" w14:textId="77777777" w:rsidR="006E769D" w:rsidRPr="001A6590" w:rsidRDefault="006E769D" w:rsidP="008D2C3C">
            <w:pPr>
              <w:pStyle w:val="NoSpacing"/>
              <w:rPr>
                <w:b/>
                <w:i/>
              </w:rPr>
            </w:pPr>
            <w:r w:rsidRPr="00E47B4B">
              <w:rPr>
                <w:b/>
                <w:i/>
              </w:rPr>
              <w:t>Data Collection Under Normal Operating Conditions</w:t>
            </w:r>
          </w:p>
        </w:tc>
        <w:tc>
          <w:tcPr>
            <w:tcW w:w="1312" w:type="dxa"/>
            <w:shd w:val="clear" w:color="auto" w:fill="auto"/>
          </w:tcPr>
          <w:p w14:paraId="6FE9E8C1" w14:textId="77777777" w:rsidR="006E769D" w:rsidRPr="0052731A" w:rsidRDefault="006E769D" w:rsidP="008D2C3C">
            <w:pPr>
              <w:pStyle w:val="NoSpacing"/>
              <w:rPr>
                <w:rFonts w:ascii="Arial" w:hAnsi="Arial" w:cs="Arial"/>
                <w:color w:val="000000"/>
                <w:sz w:val="20"/>
                <w:szCs w:val="20"/>
              </w:rPr>
            </w:pPr>
            <w:r w:rsidRPr="0052731A">
              <w:rPr>
                <w:b/>
                <w:i/>
              </w:rPr>
              <w:t>$9,358</w:t>
            </w:r>
            <w:r>
              <w:rPr>
                <w:rFonts w:ascii="Arial" w:hAnsi="Arial" w:cs="Arial"/>
                <w:color w:val="000000"/>
                <w:sz w:val="20"/>
                <w:szCs w:val="20"/>
              </w:rPr>
              <w:t xml:space="preserve"> </w:t>
            </w:r>
          </w:p>
        </w:tc>
        <w:tc>
          <w:tcPr>
            <w:tcW w:w="1175" w:type="dxa"/>
            <w:shd w:val="clear" w:color="auto" w:fill="auto"/>
          </w:tcPr>
          <w:p w14:paraId="7B9315F7" w14:textId="77777777" w:rsidR="006E769D" w:rsidRPr="003D7597" w:rsidRDefault="006E769D" w:rsidP="008D2C3C">
            <w:pPr>
              <w:pStyle w:val="NoSpacing"/>
              <w:rPr>
                <w:b/>
                <w:i/>
              </w:rPr>
            </w:pPr>
            <w:r>
              <w:rPr>
                <w:b/>
                <w:i/>
              </w:rPr>
              <w:t>$111,752</w:t>
            </w:r>
          </w:p>
        </w:tc>
      </w:tr>
      <w:tr w:rsidR="006E769D" w:rsidRPr="003D7597" w14:paraId="60E19F6D" w14:textId="77777777" w:rsidTr="008D2C3C">
        <w:trPr>
          <w:trHeight w:val="300"/>
        </w:trPr>
        <w:tc>
          <w:tcPr>
            <w:tcW w:w="671" w:type="dxa"/>
            <w:shd w:val="clear" w:color="auto" w:fill="auto"/>
          </w:tcPr>
          <w:p w14:paraId="3217A792" w14:textId="77777777" w:rsidR="006E769D" w:rsidRDefault="006E769D" w:rsidP="008D2C3C">
            <w:pPr>
              <w:pStyle w:val="NoSpacing"/>
              <w:rPr>
                <w:b/>
                <w:i/>
              </w:rPr>
            </w:pPr>
            <w:r>
              <w:rPr>
                <w:b/>
                <w:i/>
              </w:rPr>
              <w:t>5</w:t>
            </w:r>
          </w:p>
        </w:tc>
        <w:tc>
          <w:tcPr>
            <w:tcW w:w="698" w:type="dxa"/>
          </w:tcPr>
          <w:p w14:paraId="50845AB7" w14:textId="77777777" w:rsidR="006E769D" w:rsidRDefault="006E769D" w:rsidP="008D2C3C">
            <w:pPr>
              <w:pStyle w:val="NoSpacing"/>
              <w:rPr>
                <w:b/>
                <w:i/>
              </w:rPr>
            </w:pPr>
            <w:r>
              <w:rPr>
                <w:b/>
                <w:i/>
              </w:rPr>
              <w:t>12</w:t>
            </w:r>
          </w:p>
        </w:tc>
        <w:tc>
          <w:tcPr>
            <w:tcW w:w="3949" w:type="dxa"/>
            <w:shd w:val="clear" w:color="auto" w:fill="auto"/>
          </w:tcPr>
          <w:p w14:paraId="0098EDAF" w14:textId="77777777" w:rsidR="006E769D" w:rsidRPr="001A6590" w:rsidRDefault="006E769D" w:rsidP="008D2C3C">
            <w:pPr>
              <w:rPr>
                <w:b/>
                <w:i/>
              </w:rPr>
            </w:pPr>
            <w:r w:rsidRPr="001A6590">
              <w:rPr>
                <w:b/>
                <w:i/>
              </w:rPr>
              <w:t xml:space="preserve">2nd Quarterly Status Report </w:t>
            </w:r>
          </w:p>
        </w:tc>
        <w:tc>
          <w:tcPr>
            <w:tcW w:w="2175" w:type="dxa"/>
            <w:shd w:val="clear" w:color="auto" w:fill="auto"/>
          </w:tcPr>
          <w:p w14:paraId="05E305D4" w14:textId="77777777" w:rsidR="006E769D" w:rsidRPr="001A6590" w:rsidRDefault="006E769D" w:rsidP="008D2C3C">
            <w:pPr>
              <w:rPr>
                <w:b/>
                <w:i/>
              </w:rPr>
            </w:pPr>
            <w:r w:rsidRPr="001A6590">
              <w:rPr>
                <w:b/>
                <w:i/>
              </w:rPr>
              <w:t xml:space="preserve">Submit </w:t>
            </w:r>
            <w:r>
              <w:rPr>
                <w:b/>
                <w:i/>
              </w:rPr>
              <w:t>3rd</w:t>
            </w:r>
            <w:r w:rsidRPr="001A6590">
              <w:rPr>
                <w:b/>
                <w:i/>
              </w:rPr>
              <w:t xml:space="preserve"> quarterly report</w:t>
            </w:r>
          </w:p>
        </w:tc>
        <w:tc>
          <w:tcPr>
            <w:tcW w:w="1312" w:type="dxa"/>
            <w:shd w:val="clear" w:color="auto" w:fill="auto"/>
          </w:tcPr>
          <w:p w14:paraId="716352C8" w14:textId="77777777" w:rsidR="006E769D" w:rsidRDefault="006E769D" w:rsidP="008D2C3C">
            <w:pPr>
              <w:pStyle w:val="NoSpacing"/>
              <w:rPr>
                <w:b/>
                <w:i/>
              </w:rPr>
            </w:pPr>
            <w:r>
              <w:rPr>
                <w:b/>
                <w:i/>
              </w:rPr>
              <w:t>$2,210</w:t>
            </w:r>
          </w:p>
        </w:tc>
        <w:tc>
          <w:tcPr>
            <w:tcW w:w="1175" w:type="dxa"/>
            <w:shd w:val="clear" w:color="auto" w:fill="auto"/>
          </w:tcPr>
          <w:p w14:paraId="0A6BB3E9" w14:textId="77777777" w:rsidR="006E769D" w:rsidRDefault="006E769D" w:rsidP="008D2C3C">
            <w:pPr>
              <w:pStyle w:val="NoSpacing"/>
              <w:rPr>
                <w:b/>
                <w:i/>
              </w:rPr>
            </w:pPr>
            <w:r>
              <w:rPr>
                <w:b/>
                <w:i/>
              </w:rPr>
              <w:t>$1,633</w:t>
            </w:r>
          </w:p>
        </w:tc>
      </w:tr>
    </w:tbl>
    <w:p w14:paraId="4AADF1C3" w14:textId="77777777" w:rsidR="006E769D" w:rsidRDefault="006E769D" w:rsidP="006E769D">
      <w:pPr>
        <w:pStyle w:val="NoSpacing"/>
        <w:rPr>
          <w:b/>
          <w:i/>
        </w:rPr>
      </w:pPr>
    </w:p>
    <w:p w14:paraId="0E20A587" w14:textId="77777777" w:rsidR="006E769D" w:rsidRDefault="006E769D" w:rsidP="006E769D">
      <w:pPr>
        <w:pStyle w:val="NoSpacing"/>
        <w:rPr>
          <w:i/>
        </w:rPr>
      </w:pPr>
    </w:p>
    <w:p w14:paraId="157ADDCC" w14:textId="77777777" w:rsidR="006E769D" w:rsidRPr="00A7663D" w:rsidRDefault="006E769D" w:rsidP="006E769D">
      <w:pPr>
        <w:pStyle w:val="NoSpacing"/>
        <w:rPr>
          <w:b/>
        </w:rPr>
      </w:pPr>
      <w:r>
        <w:rPr>
          <w:b/>
        </w:rPr>
        <w:t xml:space="preserve">2: Items </w:t>
      </w:r>
      <w:proofErr w:type="gramStart"/>
      <w:r>
        <w:rPr>
          <w:b/>
        </w:rPr>
        <w:t>Not-</w:t>
      </w:r>
      <w:r w:rsidRPr="00A7663D">
        <w:rPr>
          <w:b/>
        </w:rPr>
        <w:t>Completed</w:t>
      </w:r>
      <w:proofErr w:type="gramEnd"/>
      <w:r w:rsidRPr="00A7663D">
        <w:rPr>
          <w:b/>
        </w:rPr>
        <w:t xml:space="preserve"> During this Quarterly Period:</w:t>
      </w:r>
    </w:p>
    <w:p w14:paraId="259BA5F7" w14:textId="77777777" w:rsidR="006E769D" w:rsidRDefault="006E769D" w:rsidP="006E769D">
      <w:pPr>
        <w:pStyle w:val="NoSpacing"/>
        <w:rPr>
          <w:i/>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698"/>
        <w:gridCol w:w="4171"/>
        <w:gridCol w:w="2061"/>
        <w:gridCol w:w="1372"/>
        <w:gridCol w:w="1234"/>
      </w:tblGrid>
      <w:tr w:rsidR="006E769D" w:rsidRPr="003D7597" w14:paraId="3CCDE9B8" w14:textId="77777777" w:rsidTr="008D2C3C">
        <w:trPr>
          <w:trHeight w:val="279"/>
        </w:trPr>
        <w:tc>
          <w:tcPr>
            <w:tcW w:w="670" w:type="dxa"/>
            <w:shd w:val="clear" w:color="auto" w:fill="auto"/>
          </w:tcPr>
          <w:p w14:paraId="5F3AB9D0" w14:textId="77777777" w:rsidR="006E769D" w:rsidRPr="003D7597" w:rsidRDefault="006E769D" w:rsidP="008D2C3C">
            <w:pPr>
              <w:pStyle w:val="NoSpacing"/>
              <w:rPr>
                <w:b/>
                <w:i/>
              </w:rPr>
            </w:pPr>
            <w:r w:rsidRPr="003D7597">
              <w:rPr>
                <w:b/>
                <w:i/>
              </w:rPr>
              <w:t>Item #</w:t>
            </w:r>
          </w:p>
        </w:tc>
        <w:tc>
          <w:tcPr>
            <w:tcW w:w="698" w:type="dxa"/>
          </w:tcPr>
          <w:p w14:paraId="6AF74C88" w14:textId="77777777" w:rsidR="006E769D" w:rsidRPr="003D7597" w:rsidRDefault="006E769D" w:rsidP="008D2C3C">
            <w:pPr>
              <w:pStyle w:val="NoSpacing"/>
              <w:rPr>
                <w:b/>
                <w:i/>
              </w:rPr>
            </w:pPr>
            <w:r>
              <w:rPr>
                <w:b/>
                <w:i/>
              </w:rPr>
              <w:t>Task #</w:t>
            </w:r>
          </w:p>
        </w:tc>
        <w:tc>
          <w:tcPr>
            <w:tcW w:w="4171" w:type="dxa"/>
            <w:shd w:val="clear" w:color="auto" w:fill="auto"/>
          </w:tcPr>
          <w:p w14:paraId="2C3FF3CB" w14:textId="77777777" w:rsidR="006E769D" w:rsidRPr="003D7597" w:rsidRDefault="006E769D" w:rsidP="008D2C3C">
            <w:pPr>
              <w:pStyle w:val="NoSpacing"/>
              <w:rPr>
                <w:b/>
                <w:i/>
              </w:rPr>
            </w:pPr>
            <w:r w:rsidRPr="003D7597">
              <w:rPr>
                <w:b/>
                <w:i/>
              </w:rPr>
              <w:t>Activity/Deliverable</w:t>
            </w:r>
          </w:p>
        </w:tc>
        <w:tc>
          <w:tcPr>
            <w:tcW w:w="2061" w:type="dxa"/>
            <w:shd w:val="clear" w:color="auto" w:fill="auto"/>
          </w:tcPr>
          <w:p w14:paraId="2C788C49" w14:textId="77777777" w:rsidR="006E769D" w:rsidRPr="003D7597" w:rsidRDefault="006E769D" w:rsidP="008D2C3C">
            <w:pPr>
              <w:pStyle w:val="NoSpacing"/>
              <w:rPr>
                <w:b/>
                <w:i/>
              </w:rPr>
            </w:pPr>
            <w:r w:rsidRPr="003D7597">
              <w:rPr>
                <w:b/>
                <w:i/>
              </w:rPr>
              <w:t>Title</w:t>
            </w:r>
          </w:p>
        </w:tc>
        <w:tc>
          <w:tcPr>
            <w:tcW w:w="1372" w:type="dxa"/>
            <w:shd w:val="clear" w:color="auto" w:fill="auto"/>
          </w:tcPr>
          <w:p w14:paraId="27AAA8AF" w14:textId="77777777" w:rsidR="006E769D" w:rsidRPr="003D7597" w:rsidRDefault="006E769D" w:rsidP="008D2C3C">
            <w:pPr>
              <w:pStyle w:val="NoSpacing"/>
              <w:rPr>
                <w:b/>
                <w:i/>
              </w:rPr>
            </w:pPr>
            <w:r w:rsidRPr="003D7597">
              <w:rPr>
                <w:b/>
                <w:i/>
              </w:rPr>
              <w:t>Federal Cost</w:t>
            </w:r>
          </w:p>
        </w:tc>
        <w:tc>
          <w:tcPr>
            <w:tcW w:w="1234" w:type="dxa"/>
            <w:shd w:val="clear" w:color="auto" w:fill="auto"/>
          </w:tcPr>
          <w:p w14:paraId="59160515" w14:textId="77777777" w:rsidR="006E769D" w:rsidRPr="003D7597" w:rsidRDefault="006E769D" w:rsidP="008D2C3C">
            <w:pPr>
              <w:pStyle w:val="NoSpacing"/>
              <w:rPr>
                <w:b/>
                <w:i/>
              </w:rPr>
            </w:pPr>
            <w:r w:rsidRPr="003D7597">
              <w:rPr>
                <w:b/>
                <w:i/>
              </w:rPr>
              <w:t>Cost Share</w:t>
            </w:r>
          </w:p>
        </w:tc>
      </w:tr>
      <w:tr w:rsidR="006E769D" w:rsidRPr="003D7597" w14:paraId="1DC9F256" w14:textId="77777777" w:rsidTr="008D2C3C">
        <w:trPr>
          <w:trHeight w:val="269"/>
        </w:trPr>
        <w:tc>
          <w:tcPr>
            <w:tcW w:w="670" w:type="dxa"/>
            <w:shd w:val="clear" w:color="auto" w:fill="auto"/>
          </w:tcPr>
          <w:p w14:paraId="428C11AF" w14:textId="77777777" w:rsidR="006E769D" w:rsidRPr="003D7597" w:rsidRDefault="006E769D" w:rsidP="008D2C3C">
            <w:pPr>
              <w:pStyle w:val="NoSpacing"/>
              <w:rPr>
                <w:b/>
                <w:i/>
              </w:rPr>
            </w:pPr>
          </w:p>
        </w:tc>
        <w:tc>
          <w:tcPr>
            <w:tcW w:w="698" w:type="dxa"/>
          </w:tcPr>
          <w:p w14:paraId="128F3840" w14:textId="77777777" w:rsidR="006E769D" w:rsidRPr="003D7597" w:rsidRDefault="006E769D" w:rsidP="008D2C3C">
            <w:pPr>
              <w:pStyle w:val="NoSpacing"/>
              <w:rPr>
                <w:b/>
                <w:i/>
              </w:rPr>
            </w:pPr>
          </w:p>
        </w:tc>
        <w:tc>
          <w:tcPr>
            <w:tcW w:w="4171" w:type="dxa"/>
            <w:shd w:val="clear" w:color="auto" w:fill="auto"/>
          </w:tcPr>
          <w:p w14:paraId="1B6DA247" w14:textId="77777777" w:rsidR="006E769D" w:rsidRPr="003D7597" w:rsidRDefault="006E769D" w:rsidP="008D2C3C">
            <w:pPr>
              <w:pStyle w:val="NoSpacing"/>
              <w:rPr>
                <w:b/>
                <w:i/>
              </w:rPr>
            </w:pPr>
          </w:p>
        </w:tc>
        <w:tc>
          <w:tcPr>
            <w:tcW w:w="2061" w:type="dxa"/>
            <w:shd w:val="clear" w:color="auto" w:fill="auto"/>
          </w:tcPr>
          <w:p w14:paraId="57F74C04" w14:textId="77777777" w:rsidR="006E769D" w:rsidRPr="003D7597" w:rsidRDefault="006E769D" w:rsidP="008D2C3C">
            <w:pPr>
              <w:pStyle w:val="NoSpacing"/>
              <w:rPr>
                <w:b/>
                <w:i/>
              </w:rPr>
            </w:pPr>
          </w:p>
        </w:tc>
        <w:tc>
          <w:tcPr>
            <w:tcW w:w="1372" w:type="dxa"/>
            <w:shd w:val="clear" w:color="auto" w:fill="auto"/>
          </w:tcPr>
          <w:p w14:paraId="452C2792" w14:textId="77777777" w:rsidR="006E769D" w:rsidRPr="003D7597" w:rsidRDefault="006E769D" w:rsidP="008D2C3C">
            <w:pPr>
              <w:pStyle w:val="NoSpacing"/>
              <w:rPr>
                <w:b/>
                <w:i/>
              </w:rPr>
            </w:pPr>
          </w:p>
        </w:tc>
        <w:tc>
          <w:tcPr>
            <w:tcW w:w="1234" w:type="dxa"/>
            <w:shd w:val="clear" w:color="auto" w:fill="auto"/>
          </w:tcPr>
          <w:p w14:paraId="49F6D804" w14:textId="77777777" w:rsidR="006E769D" w:rsidRPr="003D7597" w:rsidRDefault="006E769D" w:rsidP="008D2C3C">
            <w:pPr>
              <w:pStyle w:val="NoSpacing"/>
              <w:rPr>
                <w:b/>
                <w:i/>
              </w:rPr>
            </w:pPr>
          </w:p>
        </w:tc>
      </w:tr>
      <w:tr w:rsidR="006E769D" w:rsidRPr="003D7597" w14:paraId="535E1E54" w14:textId="77777777" w:rsidTr="008D2C3C">
        <w:trPr>
          <w:trHeight w:val="279"/>
        </w:trPr>
        <w:tc>
          <w:tcPr>
            <w:tcW w:w="670" w:type="dxa"/>
            <w:shd w:val="clear" w:color="auto" w:fill="auto"/>
          </w:tcPr>
          <w:p w14:paraId="6762A1C2" w14:textId="77777777" w:rsidR="006E769D" w:rsidRPr="003D7597" w:rsidRDefault="006E769D" w:rsidP="008D2C3C">
            <w:pPr>
              <w:pStyle w:val="NoSpacing"/>
              <w:rPr>
                <w:b/>
                <w:i/>
              </w:rPr>
            </w:pPr>
          </w:p>
        </w:tc>
        <w:tc>
          <w:tcPr>
            <w:tcW w:w="698" w:type="dxa"/>
          </w:tcPr>
          <w:p w14:paraId="4DE48B7B" w14:textId="77777777" w:rsidR="006E769D" w:rsidRPr="003D7597" w:rsidRDefault="006E769D" w:rsidP="008D2C3C">
            <w:pPr>
              <w:pStyle w:val="NoSpacing"/>
              <w:rPr>
                <w:b/>
                <w:i/>
              </w:rPr>
            </w:pPr>
          </w:p>
        </w:tc>
        <w:tc>
          <w:tcPr>
            <w:tcW w:w="4171" w:type="dxa"/>
            <w:shd w:val="clear" w:color="auto" w:fill="auto"/>
          </w:tcPr>
          <w:p w14:paraId="53C7DF20" w14:textId="77777777" w:rsidR="006E769D" w:rsidRPr="003D7597" w:rsidRDefault="006E769D" w:rsidP="008D2C3C">
            <w:pPr>
              <w:pStyle w:val="NoSpacing"/>
              <w:rPr>
                <w:b/>
                <w:i/>
              </w:rPr>
            </w:pPr>
          </w:p>
        </w:tc>
        <w:tc>
          <w:tcPr>
            <w:tcW w:w="2061" w:type="dxa"/>
            <w:shd w:val="clear" w:color="auto" w:fill="auto"/>
          </w:tcPr>
          <w:p w14:paraId="35C7A89D" w14:textId="77777777" w:rsidR="006E769D" w:rsidRPr="003D7597" w:rsidRDefault="006E769D" w:rsidP="008D2C3C">
            <w:pPr>
              <w:pStyle w:val="NoSpacing"/>
              <w:rPr>
                <w:b/>
                <w:i/>
              </w:rPr>
            </w:pPr>
          </w:p>
        </w:tc>
        <w:tc>
          <w:tcPr>
            <w:tcW w:w="1372" w:type="dxa"/>
            <w:shd w:val="clear" w:color="auto" w:fill="auto"/>
          </w:tcPr>
          <w:p w14:paraId="479C6EA5" w14:textId="77777777" w:rsidR="006E769D" w:rsidRPr="003D7597" w:rsidRDefault="006E769D" w:rsidP="008D2C3C">
            <w:pPr>
              <w:pStyle w:val="NoSpacing"/>
              <w:rPr>
                <w:b/>
                <w:i/>
              </w:rPr>
            </w:pPr>
          </w:p>
        </w:tc>
        <w:tc>
          <w:tcPr>
            <w:tcW w:w="1234" w:type="dxa"/>
            <w:shd w:val="clear" w:color="auto" w:fill="auto"/>
          </w:tcPr>
          <w:p w14:paraId="574D8116" w14:textId="77777777" w:rsidR="006E769D" w:rsidRPr="003D7597" w:rsidRDefault="006E769D" w:rsidP="008D2C3C">
            <w:pPr>
              <w:pStyle w:val="NoSpacing"/>
              <w:rPr>
                <w:b/>
                <w:i/>
              </w:rPr>
            </w:pPr>
          </w:p>
        </w:tc>
      </w:tr>
    </w:tbl>
    <w:p w14:paraId="5CBE6796" w14:textId="77777777" w:rsidR="006E769D" w:rsidRDefault="006E769D" w:rsidP="006E769D">
      <w:pPr>
        <w:pStyle w:val="NoSpacing"/>
        <w:rPr>
          <w:b/>
          <w:i/>
        </w:rPr>
      </w:pPr>
    </w:p>
    <w:p w14:paraId="0F98D4FD" w14:textId="77777777" w:rsidR="006E769D" w:rsidRDefault="006E769D" w:rsidP="006E769D">
      <w:pPr>
        <w:pStyle w:val="NoSpacing"/>
        <w:rPr>
          <w:i/>
        </w:rPr>
      </w:pPr>
    </w:p>
    <w:p w14:paraId="752FAC2C" w14:textId="77777777" w:rsidR="006E769D" w:rsidRDefault="006E769D" w:rsidP="006E769D">
      <w:pPr>
        <w:pStyle w:val="NoSpacing"/>
        <w:rPr>
          <w:b/>
        </w:rPr>
      </w:pPr>
      <w:r>
        <w:rPr>
          <w:b/>
        </w:rPr>
        <w:t xml:space="preserve">3: Project Financial Tracking </w:t>
      </w:r>
      <w:r w:rsidRPr="00A7663D">
        <w:rPr>
          <w:b/>
        </w:rPr>
        <w:t>During this Quarterly Period:</w:t>
      </w:r>
    </w:p>
    <w:p w14:paraId="40ED1204" w14:textId="006A3F67" w:rsidR="006E769D" w:rsidRPr="00A7663D" w:rsidRDefault="00000000" w:rsidP="006E769D">
      <w:pPr>
        <w:pStyle w:val="NoSpacing"/>
        <w:rPr>
          <w:b/>
        </w:rPr>
      </w:pPr>
      <w:r>
        <w:rPr>
          <w:b/>
          <w:noProof/>
        </w:rPr>
        <w:lastRenderedPageBreak/>
        <w:pict w14:anchorId="6E1C64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83.75pt;height:383.25pt;visibility:visible;mso-wrap-style:square">
            <v:imagedata r:id="rId11" o:title=""/>
          </v:shape>
        </w:pict>
      </w:r>
    </w:p>
    <w:p w14:paraId="61D8EB02" w14:textId="77777777" w:rsidR="006E769D" w:rsidRDefault="006E769D" w:rsidP="006E769D">
      <w:pPr>
        <w:pStyle w:val="NoSpacing"/>
        <w:rPr>
          <w:i/>
          <w:sz w:val="22"/>
        </w:rPr>
      </w:pPr>
    </w:p>
    <w:p w14:paraId="59BC9779" w14:textId="77777777" w:rsidR="006E769D" w:rsidRPr="006131B8" w:rsidRDefault="006E769D" w:rsidP="006E769D">
      <w:pPr>
        <w:pStyle w:val="NoSpacing"/>
        <w:rPr>
          <w:sz w:val="22"/>
        </w:rPr>
      </w:pPr>
    </w:p>
    <w:p w14:paraId="330BDE71" w14:textId="77777777" w:rsidR="006E769D" w:rsidRDefault="006E769D" w:rsidP="006E769D">
      <w:pPr>
        <w:pStyle w:val="NoSpacing"/>
        <w:rPr>
          <w:b/>
        </w:rPr>
      </w:pPr>
      <w:r>
        <w:rPr>
          <w:b/>
        </w:rPr>
        <w:t xml:space="preserve">4:  Project </w:t>
      </w:r>
      <w:r w:rsidRPr="001127DB">
        <w:rPr>
          <w:b/>
        </w:rPr>
        <w:t>Technical Status –</w:t>
      </w:r>
    </w:p>
    <w:p w14:paraId="69615496" w14:textId="77777777" w:rsidR="006E769D" w:rsidRPr="002B4534" w:rsidRDefault="006E769D" w:rsidP="006E769D">
      <w:pPr>
        <w:pStyle w:val="NoSpacing"/>
        <w:rPr>
          <w:iCs/>
          <w:sz w:val="22"/>
          <w:u w:val="single"/>
        </w:rPr>
      </w:pPr>
      <w:r w:rsidRPr="002B4534">
        <w:rPr>
          <w:iCs/>
          <w:sz w:val="22"/>
          <w:u w:val="single"/>
        </w:rPr>
        <w:t>Item #</w:t>
      </w:r>
      <w:r>
        <w:rPr>
          <w:iCs/>
          <w:sz w:val="22"/>
          <w:u w:val="single"/>
        </w:rPr>
        <w:t>6</w:t>
      </w:r>
      <w:r w:rsidRPr="002B4534">
        <w:rPr>
          <w:iCs/>
          <w:sz w:val="22"/>
          <w:u w:val="single"/>
        </w:rPr>
        <w:t>, Task #</w:t>
      </w:r>
      <w:r>
        <w:rPr>
          <w:iCs/>
          <w:sz w:val="22"/>
          <w:u w:val="single"/>
        </w:rPr>
        <w:t>2</w:t>
      </w:r>
      <w:r w:rsidRPr="002B4534">
        <w:rPr>
          <w:iCs/>
          <w:sz w:val="22"/>
          <w:u w:val="single"/>
        </w:rPr>
        <w:t xml:space="preserve">, </w:t>
      </w:r>
      <w:r w:rsidRPr="002B4534">
        <w:rPr>
          <w:u w:val="single"/>
        </w:rPr>
        <w:t>Data Collection Under Normal Operating Conditions</w:t>
      </w:r>
    </w:p>
    <w:p w14:paraId="55F6FFE4" w14:textId="77777777" w:rsidR="006E769D" w:rsidRDefault="006E769D" w:rsidP="006E769D">
      <w:pPr>
        <w:pStyle w:val="NoSpacing"/>
      </w:pPr>
      <w:r w:rsidRPr="002B4534">
        <w:t>During this quarter, we continued work on Item #</w:t>
      </w:r>
      <w:r>
        <w:t>6</w:t>
      </w:r>
      <w:r w:rsidRPr="002B4534">
        <w:t>, Task #</w:t>
      </w:r>
      <w:r>
        <w:t>2</w:t>
      </w:r>
      <w:r w:rsidRPr="002B4534">
        <w:t xml:space="preserve"> as outlined in Attachment #3, corresponding to Item #</w:t>
      </w:r>
      <w:r>
        <w:t>3</w:t>
      </w:r>
      <w:r w:rsidRPr="002B4534">
        <w:t xml:space="preserve"> in the Team Project Activities section (</w:t>
      </w:r>
      <w:r>
        <w:t>Data Collection Under Normal Operating Conditions</w:t>
      </w:r>
      <w:r w:rsidRPr="002B4534">
        <w:t xml:space="preserve">). Below is a summary of the activities and progress related to </w:t>
      </w:r>
      <w:r>
        <w:t>our data collection efforts</w:t>
      </w:r>
      <w:r w:rsidRPr="002B4534">
        <w:t>:</w:t>
      </w:r>
    </w:p>
    <w:p w14:paraId="7FC3C243" w14:textId="77777777" w:rsidR="006E769D" w:rsidRDefault="006E769D" w:rsidP="006E769D">
      <w:pPr>
        <w:pStyle w:val="NoSpacing"/>
      </w:pPr>
    </w:p>
    <w:p w14:paraId="1CC5794A" w14:textId="647E1C06" w:rsidR="004F7099" w:rsidRPr="004F7099" w:rsidRDefault="006E769D" w:rsidP="004F7099">
      <w:pPr>
        <w:pStyle w:val="NoSpacing"/>
      </w:pPr>
      <w:r>
        <w:rPr>
          <w:rStyle w:val="Strong"/>
        </w:rPr>
        <w:t>Work Completed</w:t>
      </w:r>
      <w:r>
        <w:br/>
      </w:r>
      <w:r w:rsidR="004F7099" w:rsidRPr="004F7099">
        <w:t xml:space="preserve">This quarter, we made progress on our data collection initiatives with both </w:t>
      </w:r>
      <w:r w:rsidR="004C4C94">
        <w:t>our</w:t>
      </w:r>
      <w:r w:rsidR="004F7099" w:rsidRPr="004F7099">
        <w:t xml:space="preserve"> Ethylene project partner and the Compressed Gas partner. For the Ethylene project, we maintained our data collection infrastructure, enabling continuous live sensor data streaming and the initiation of analytical work. We also completed the system configuration necessary to support data analysis and modeling. Concurrently, we continued engagement with </w:t>
      </w:r>
      <w:r w:rsidR="004C4C94">
        <w:t>our</w:t>
      </w:r>
      <w:r w:rsidR="004F7099" w:rsidRPr="004F7099">
        <w:t xml:space="preserve"> Compressed Gas partner to identify a viable segment for compressible product testing. While our initial approach </w:t>
      </w:r>
      <w:proofErr w:type="gramStart"/>
      <w:r w:rsidR="004F7099" w:rsidRPr="004F7099">
        <w:t>using</w:t>
      </w:r>
      <w:proofErr w:type="gramEnd"/>
      <w:r w:rsidR="004F7099" w:rsidRPr="004F7099">
        <w:t xml:space="preserve"> a decommissioned system was deemed unviable after cost and logistical review, we are actively pursuing an alternative with their support.</w:t>
      </w:r>
    </w:p>
    <w:p w14:paraId="5ECABD09" w14:textId="3CA2DB7C" w:rsidR="004F7099" w:rsidRPr="004F7099" w:rsidRDefault="004F7099" w:rsidP="004F7099">
      <w:pPr>
        <w:pStyle w:val="NoSpacing"/>
        <w:numPr>
          <w:ilvl w:val="0"/>
          <w:numId w:val="13"/>
        </w:numPr>
      </w:pPr>
      <w:r w:rsidRPr="004F7099">
        <w:rPr>
          <w:b/>
          <w:bCs/>
        </w:rPr>
        <w:t xml:space="preserve">Ethylene Project </w:t>
      </w:r>
      <w:r w:rsidRPr="004F7099">
        <w:br/>
        <w:t xml:space="preserve">We maintained an active data collection infrastructure that streams live sensor data from </w:t>
      </w:r>
      <w:r w:rsidR="00941E47">
        <w:t>our</w:t>
      </w:r>
      <w:r w:rsidRPr="004F7099">
        <w:t xml:space="preserve"> </w:t>
      </w:r>
      <w:r w:rsidRPr="004F7099">
        <w:lastRenderedPageBreak/>
        <w:t>Ethylene project partner’s pipeline segment. Throughout the quarter, we worked with their personnel to enhance our understanding of the pipeline’s topology, sensor configurations, and operational practices. This collaboration enabled us to complete the pipeline's configuration within our system, which will support ongoing data analysis and modeling.</w:t>
      </w:r>
    </w:p>
    <w:p w14:paraId="22C2E21B" w14:textId="444F5D50" w:rsidR="004F7099" w:rsidRPr="004F7099" w:rsidRDefault="004F7099" w:rsidP="004F7099">
      <w:pPr>
        <w:pStyle w:val="NoSpacing"/>
        <w:numPr>
          <w:ilvl w:val="0"/>
          <w:numId w:val="13"/>
        </w:numPr>
      </w:pPr>
      <w:r w:rsidRPr="004F7099">
        <w:rPr>
          <w:b/>
          <w:bCs/>
        </w:rPr>
        <w:t>Compressed Gas P</w:t>
      </w:r>
      <w:r w:rsidR="00C35D5A">
        <w:rPr>
          <w:b/>
          <w:bCs/>
        </w:rPr>
        <w:t>roject</w:t>
      </w:r>
      <w:r w:rsidR="00941E47">
        <w:rPr>
          <w:b/>
          <w:bCs/>
        </w:rPr>
        <w:br/>
      </w:r>
      <w:r w:rsidRPr="004F7099">
        <w:t xml:space="preserve">Following our prior plan to use a decommissioned system with compressed air or nitrogen as a proxy for compressible products, we conducted a detailed cost and logistical assessment. This evaluation concluded that the original plan was not viable due to the high costs and equipment requirements. We are now working with </w:t>
      </w:r>
      <w:r w:rsidR="00C35D5A">
        <w:t>our</w:t>
      </w:r>
      <w:r w:rsidRPr="004F7099">
        <w:t xml:space="preserve"> Compressed Gas partner to identify a smaller, more feasible alternative segment. Our pipeline engineering team remains actively engaged with their personnel to finalize the new plan and move toward implementation.</w:t>
      </w:r>
    </w:p>
    <w:p w14:paraId="19B71031" w14:textId="2968E580" w:rsidR="006E769D" w:rsidRDefault="006E769D" w:rsidP="004F7099">
      <w:pPr>
        <w:pStyle w:val="NoSpacing"/>
      </w:pPr>
    </w:p>
    <w:p w14:paraId="1EF4DA61" w14:textId="77777777" w:rsidR="006E769D" w:rsidRDefault="006E769D" w:rsidP="006E769D">
      <w:pPr>
        <w:pStyle w:val="NoSpacing"/>
        <w:rPr>
          <w:u w:val="single"/>
        </w:rPr>
      </w:pPr>
      <w:r w:rsidRPr="002B4534">
        <w:rPr>
          <w:u w:val="single"/>
        </w:rPr>
        <w:t>Item #5, Task #12, Submit 2nd Quarterly Report</w:t>
      </w:r>
    </w:p>
    <w:p w14:paraId="3BA42BEF" w14:textId="32AF9258" w:rsidR="006E769D" w:rsidRDefault="006E769D" w:rsidP="006E769D">
      <w:pPr>
        <w:pStyle w:val="NoSpacing"/>
        <w:rPr>
          <w:i/>
          <w:sz w:val="22"/>
          <w:szCs w:val="22"/>
        </w:rPr>
      </w:pPr>
      <w:r w:rsidRPr="002B4534">
        <w:t xml:space="preserve">We completed and submitted the </w:t>
      </w:r>
      <w:r>
        <w:t>3rd</w:t>
      </w:r>
      <w:r w:rsidRPr="002B4534">
        <w:t xml:space="preserve"> quarterly report in accordance with Item #5, Task #12, as stated in Attachment #3 and corresponding to Item #13 in the Team Project Activities section (Quarterly and Monthly Reports).</w:t>
      </w:r>
    </w:p>
    <w:p w14:paraId="2436398E" w14:textId="77777777" w:rsidR="006E769D" w:rsidRDefault="006E769D" w:rsidP="006E769D">
      <w:pPr>
        <w:pStyle w:val="NoSpacing"/>
        <w:rPr>
          <w:b/>
        </w:rPr>
      </w:pPr>
    </w:p>
    <w:p w14:paraId="4F4ACC3C" w14:textId="77777777" w:rsidR="006E769D" w:rsidRDefault="006E769D" w:rsidP="006E769D">
      <w:pPr>
        <w:pStyle w:val="NoSpacing"/>
      </w:pPr>
      <w:r>
        <w:rPr>
          <w:b/>
        </w:rPr>
        <w:t xml:space="preserve">5: Project </w:t>
      </w:r>
      <w:r w:rsidRPr="001127DB">
        <w:rPr>
          <w:b/>
        </w:rPr>
        <w:t>Schedule</w:t>
      </w:r>
    </w:p>
    <w:p w14:paraId="0389F6DD" w14:textId="77777777" w:rsidR="006E769D" w:rsidRDefault="006E769D" w:rsidP="006E769D">
      <w:pPr>
        <w:pStyle w:val="NoSpacing"/>
      </w:pPr>
      <w:r w:rsidRPr="00321DF8">
        <w:t>The project is currently progressing well and remains on a favorable trajectory. From a technical analysis and development standpoint, we are ahead of schedule. Completion of our technical literature review and experiment design earlier than planned has enabled us to initiate prototyping and evaluation efforts ahead of schedule. These early evaluations, using datasets from other operators not included in the scope of this project, have yielded promising initial results.</w:t>
      </w:r>
    </w:p>
    <w:p w14:paraId="5ED02053" w14:textId="77777777" w:rsidR="006E769D" w:rsidRPr="00321DF8" w:rsidRDefault="006E769D" w:rsidP="006E769D">
      <w:pPr>
        <w:pStyle w:val="NoSpacing"/>
      </w:pPr>
    </w:p>
    <w:p w14:paraId="7174F826" w14:textId="4FB9671D" w:rsidR="006E769D" w:rsidRPr="00321DF8" w:rsidRDefault="006E769D" w:rsidP="006E769D">
      <w:pPr>
        <w:pStyle w:val="NoSpacing"/>
      </w:pPr>
      <w:r w:rsidRPr="00321DF8">
        <w:t xml:space="preserve">On the data collection front, </w:t>
      </w:r>
      <w:r w:rsidR="00C35D5A">
        <w:t>the Ethylene</w:t>
      </w:r>
      <w:r w:rsidRPr="00321DF8">
        <w:t xml:space="preserve"> system is fully configured and actively streaming data, supporting our analytical objectives. However, identifying a viable </w:t>
      </w:r>
      <w:r w:rsidR="004F791D">
        <w:t>Compressed Gas</w:t>
      </w:r>
      <w:r w:rsidRPr="00321DF8">
        <w:t xml:space="preserve"> pipeline segment for testing remains an open challenge. Despite this, our engineering team is optimistic that a suitable solution can be identified given the breadth of </w:t>
      </w:r>
      <w:r w:rsidR="004F791D">
        <w:t xml:space="preserve">our Compressed Gas </w:t>
      </w:r>
      <w:proofErr w:type="gramStart"/>
      <w:r w:rsidR="004F791D">
        <w:t>partners</w:t>
      </w:r>
      <w:proofErr w:type="gramEnd"/>
      <w:r w:rsidRPr="00321DF8">
        <w:t xml:space="preserve"> asset base. This aspect of the project currently represents our highest risk area, and we anticipate gaining clarity within the first half of the upcoming quarter regarding its potential impact on overall project timelines.</w:t>
      </w:r>
    </w:p>
    <w:p w14:paraId="2F60CE81" w14:textId="77777777" w:rsidR="006E769D" w:rsidRPr="003D077E" w:rsidRDefault="006E769D" w:rsidP="006E769D">
      <w:pPr>
        <w:pStyle w:val="NoSpacing"/>
      </w:pPr>
    </w:p>
    <w:p w14:paraId="2FDEF8B7" w14:textId="5E7B836E" w:rsidR="006E769D" w:rsidRDefault="006E769D" w:rsidP="006E769D">
      <w:pPr>
        <w:pStyle w:val="NoSpacing"/>
      </w:pPr>
      <w:r w:rsidRPr="00B84ADE">
        <w:rPr>
          <w:i/>
          <w:iCs/>
          <w:u w:val="single"/>
        </w:rPr>
        <w:t>Item #9, Task #2 – Data Collection Under Normal Operating Conditions</w:t>
      </w:r>
      <w:r w:rsidRPr="00B84ADE">
        <w:br/>
      </w:r>
      <w:r w:rsidR="000E0180" w:rsidRPr="000E0180">
        <w:t xml:space="preserve">Data collection efforts are progressing as planned with </w:t>
      </w:r>
      <w:r w:rsidR="00003798">
        <w:t>our</w:t>
      </w:r>
      <w:r w:rsidR="000E0180" w:rsidRPr="000E0180">
        <w:t xml:space="preserve"> Ethylene project partner, with infrastructure in place and streaming actively. In parallel, we are working with </w:t>
      </w:r>
      <w:r w:rsidR="00003798">
        <w:t>our</w:t>
      </w:r>
      <w:r w:rsidR="000E0180" w:rsidRPr="000E0180">
        <w:t xml:space="preserve"> Compressed Gas partner to identify an alternative system suitable for data collection and withdrawal planning. While this process is ongoing and presents some risk, we are actively engaged in resolving it and remain on schedule overall.</w:t>
      </w:r>
    </w:p>
    <w:p w14:paraId="17F853C2" w14:textId="77777777" w:rsidR="006E769D" w:rsidRPr="00B84ADE" w:rsidRDefault="006E769D" w:rsidP="006E769D">
      <w:pPr>
        <w:pStyle w:val="NoSpacing"/>
      </w:pPr>
    </w:p>
    <w:p w14:paraId="2CB1F3B3" w14:textId="2626C554" w:rsidR="006E769D" w:rsidRDefault="006E769D" w:rsidP="006E769D">
      <w:pPr>
        <w:pStyle w:val="NoSpacing"/>
      </w:pPr>
      <w:r w:rsidRPr="00B84ADE">
        <w:rPr>
          <w:i/>
          <w:iCs/>
          <w:u w:val="single"/>
        </w:rPr>
        <w:t>Item #10, Task #3 – Conduct Physical Withdrawal Tests</w:t>
      </w:r>
      <w:r w:rsidRPr="00B84ADE">
        <w:br/>
      </w:r>
      <w:r w:rsidR="00003798" w:rsidRPr="00003798">
        <w:t xml:space="preserve">Initial engagements with the Ethylene project partner have begun, with more detailed planning and coordination </w:t>
      </w:r>
      <w:r w:rsidR="00FA1463">
        <w:t>anticipated</w:t>
      </w:r>
      <w:r w:rsidR="00003798" w:rsidRPr="00003798">
        <w:t xml:space="preserve"> for this quarter to define testing plans and evaluate operational considerations. In parallel, efforts continue with </w:t>
      </w:r>
      <w:r w:rsidR="00003798">
        <w:t>our</w:t>
      </w:r>
      <w:r w:rsidR="00003798" w:rsidRPr="00003798">
        <w:t xml:space="preserve"> Compressed Gas partner to finalize a viable pipeline segment and reassess logistics and cost implications. Progress is being made, though this area still carries some risk.</w:t>
      </w:r>
    </w:p>
    <w:p w14:paraId="41DED2AC" w14:textId="77777777" w:rsidR="006E769D" w:rsidRPr="00B84ADE" w:rsidRDefault="006E769D" w:rsidP="006E769D">
      <w:pPr>
        <w:pStyle w:val="NoSpacing"/>
      </w:pPr>
    </w:p>
    <w:p w14:paraId="1C44F69D" w14:textId="2D7BC25A" w:rsidR="006E769D" w:rsidRDefault="006E769D" w:rsidP="006E769D">
      <w:pPr>
        <w:pStyle w:val="NoSpacing"/>
      </w:pPr>
      <w:r w:rsidRPr="00B84ADE">
        <w:rPr>
          <w:i/>
          <w:iCs/>
          <w:u w:val="single"/>
        </w:rPr>
        <w:t>Item #11, Task #4 – Operational Data Analysis</w:t>
      </w:r>
      <w:r w:rsidRPr="00B84ADE">
        <w:br/>
      </w:r>
      <w:r w:rsidR="009910D8" w:rsidRPr="009910D8">
        <w:t xml:space="preserve">The pipeline segment from the Ethylene project partner is fully configured, with documentation nearly complete. Data analysis is underway and progressing as expected. Work continues with </w:t>
      </w:r>
      <w:r w:rsidR="009910D8">
        <w:t>our</w:t>
      </w:r>
      <w:r w:rsidR="009910D8" w:rsidRPr="009910D8">
        <w:t xml:space="preserve"> Compressed </w:t>
      </w:r>
      <w:r w:rsidR="009910D8" w:rsidRPr="009910D8">
        <w:lastRenderedPageBreak/>
        <w:t>Gas partner to identify a suitable segment and develop an associated analysis plan. Overall, analysis efforts are on track, though some uncertainty remains on the compressed gas side.</w:t>
      </w:r>
    </w:p>
    <w:p w14:paraId="1CB5AE9E" w14:textId="77777777" w:rsidR="006E769D" w:rsidRPr="00B84ADE" w:rsidRDefault="006E769D" w:rsidP="006E769D">
      <w:pPr>
        <w:pStyle w:val="NoSpacing"/>
      </w:pPr>
    </w:p>
    <w:p w14:paraId="00F8A51D" w14:textId="116CBEFD" w:rsidR="006E769D" w:rsidRPr="00B84ADE" w:rsidRDefault="006E769D" w:rsidP="006E769D">
      <w:pPr>
        <w:pStyle w:val="NoSpacing"/>
      </w:pPr>
      <w:r w:rsidRPr="00B84ADE">
        <w:rPr>
          <w:i/>
          <w:iCs/>
          <w:u w:val="single"/>
        </w:rPr>
        <w:t>Item #12, Task #7 – Develop Proof-of-Concepts (POCs)</w:t>
      </w:r>
      <w:r w:rsidRPr="00B84ADE">
        <w:rPr>
          <w:i/>
          <w:iCs/>
          <w:u w:val="single"/>
        </w:rPr>
        <w:br/>
      </w:r>
      <w:r w:rsidR="006E2963" w:rsidRPr="006E2963">
        <w:t xml:space="preserve">We are making strong progress on machine learning solutions for modeling normal operations, using datasets from external operators not directly involved in this project. These models are being developed with transferability in mind and will be evaluated on </w:t>
      </w:r>
      <w:r w:rsidR="006E2963">
        <w:t>our</w:t>
      </w:r>
      <w:r w:rsidR="006E2963" w:rsidRPr="006E2963">
        <w:t xml:space="preserve"> Ethylene project partner’s system during upcoming withdrawal testing. This task remains on track for completion within the scheduled timeframe.</w:t>
      </w:r>
    </w:p>
    <w:p w14:paraId="5DE30879" w14:textId="77777777" w:rsidR="006E769D" w:rsidRDefault="006E769D" w:rsidP="006E769D">
      <w:pPr>
        <w:pStyle w:val="NoSpacing"/>
      </w:pPr>
    </w:p>
    <w:p w14:paraId="69C8F9F9" w14:textId="77777777" w:rsidR="006E769D" w:rsidRPr="006C76FE" w:rsidRDefault="006E769D" w:rsidP="006E769D">
      <w:pPr>
        <w:pStyle w:val="NoSpacing"/>
        <w:rPr>
          <w:i/>
          <w:iCs/>
          <w:u w:val="single"/>
        </w:rPr>
      </w:pPr>
      <w:r w:rsidRPr="006C76FE">
        <w:rPr>
          <w:i/>
          <w:iCs/>
          <w:u w:val="single"/>
        </w:rPr>
        <w:t>Risk Summary</w:t>
      </w:r>
    </w:p>
    <w:p w14:paraId="35EE5EB4" w14:textId="2AFE6AD2" w:rsidR="006460A6" w:rsidRPr="006460A6" w:rsidRDefault="00273486" w:rsidP="006460A6">
      <w:pPr>
        <w:pStyle w:val="NoSpacing"/>
      </w:pPr>
      <w:r w:rsidRPr="00273486">
        <w:t xml:space="preserve">The primary area of project risk at this stage centers on </w:t>
      </w:r>
      <w:r>
        <w:t>our</w:t>
      </w:r>
      <w:r w:rsidRPr="00273486">
        <w:t xml:space="preserve"> Compressed Gas partner’s system and the execution of physical withdrawal tests. Our original plan involving a decommissioned pipeline was determined to be infeasible due to cost and logistical constraints. While we are actively pursuing alternatives, identifying a suitable replacement has been challenging. Although we remain optimistic, there is a possibility that delays in securing a viable segment could </w:t>
      </w:r>
      <w:proofErr w:type="gramStart"/>
      <w:r w:rsidRPr="00273486">
        <w:t>impact</w:t>
      </w:r>
      <w:proofErr w:type="gramEnd"/>
      <w:r w:rsidRPr="00273486">
        <w:t xml:space="preserve"> the project timeline. We anticipate greater clarity </w:t>
      </w:r>
      <w:proofErr w:type="gramStart"/>
      <w:r w:rsidRPr="00273486">
        <w:t>on</w:t>
      </w:r>
      <w:proofErr w:type="gramEnd"/>
      <w:r w:rsidRPr="00273486">
        <w:t xml:space="preserve"> this within the current quarter.</w:t>
      </w:r>
      <w:r w:rsidR="006460A6" w:rsidRPr="006460A6">
        <w:t xml:space="preserve"> As part of our risk mitigation strategy, we have initiated discussions with the Southwest Research Institute to explore the use of their test facility for collecting operational and withdrawal test data. We are scheduling conversations to discuss technical feasibility, cost estimates, and logistics, and would serve as a fallback option should the Compressed Gas partner path prove prohibitive.</w:t>
      </w:r>
    </w:p>
    <w:p w14:paraId="20FDC294" w14:textId="77777777" w:rsidR="00273486" w:rsidRPr="00273486" w:rsidRDefault="00273486" w:rsidP="00273486">
      <w:pPr>
        <w:pStyle w:val="NoSpacing"/>
      </w:pPr>
    </w:p>
    <w:p w14:paraId="29E66D65" w14:textId="0102434D" w:rsidR="00273486" w:rsidRPr="00273486" w:rsidRDefault="00273486" w:rsidP="00273486">
      <w:pPr>
        <w:pStyle w:val="NoSpacing"/>
      </w:pPr>
      <w:r w:rsidRPr="00273486">
        <w:t xml:space="preserve">In parallel, initial discussions with </w:t>
      </w:r>
      <w:r>
        <w:t>our</w:t>
      </w:r>
      <w:r w:rsidRPr="00273486">
        <w:t xml:space="preserve"> Ethylene project partner regarding withdrawal testing have been encouraging. That said, potential risks related to commercial, operational, or compliance factors could still delay or constrain execution. These considerations will be monitored closely as we move into the next phase of planning.</w:t>
      </w:r>
    </w:p>
    <w:p w14:paraId="7312507D" w14:textId="77777777" w:rsidR="006E769D" w:rsidRPr="003D077E" w:rsidRDefault="006E769D" w:rsidP="006E769D">
      <w:pPr>
        <w:pStyle w:val="NoSpacing"/>
      </w:pPr>
    </w:p>
    <w:p w14:paraId="20A6BCA1" w14:textId="77777777" w:rsidR="006E769D" w:rsidRPr="003D077E" w:rsidRDefault="006E769D" w:rsidP="006E769D">
      <w:pPr>
        <w:pStyle w:val="NoSpacing"/>
        <w:rPr>
          <w:u w:val="single"/>
        </w:rPr>
      </w:pPr>
      <w:r w:rsidRPr="003D077E">
        <w:rPr>
          <w:u w:val="single"/>
        </w:rPr>
        <w:t xml:space="preserve">Summary </w:t>
      </w:r>
    </w:p>
    <w:p w14:paraId="23235E24" w14:textId="101865AA" w:rsidR="008E0963" w:rsidRPr="006E769D" w:rsidRDefault="008A38A9" w:rsidP="006E769D">
      <w:r w:rsidRPr="008A38A9">
        <w:t xml:space="preserve">The project is progressing well overall, with technical development ahead of schedule and promising early modeling results from external datasets. Data collection from </w:t>
      </w:r>
      <w:r w:rsidR="00812F79">
        <w:t>our</w:t>
      </w:r>
      <w:r w:rsidRPr="008A38A9">
        <w:t xml:space="preserve"> Ethylene project partner is active and </w:t>
      </w:r>
      <w:proofErr w:type="gramStart"/>
      <w:r w:rsidRPr="008A38A9">
        <w:t>supporting</w:t>
      </w:r>
      <w:proofErr w:type="gramEnd"/>
      <w:r w:rsidRPr="008A38A9">
        <w:t xml:space="preserve"> ongoing analysis efforts. While our original testing plan with </w:t>
      </w:r>
      <w:r w:rsidR="00812F79">
        <w:t>our</w:t>
      </w:r>
      <w:r w:rsidRPr="008A38A9">
        <w:t xml:space="preserve"> Compressed Gas partner proved unfeasible, we are working collaboratively to identify a viable alternative. Initial discussions with the Ethylene partner around withdrawal testing are encouraging, though some risk remains related to potential commercial or operational constraints. We expect greater clarity on both testing pathways within the next quarter.</w:t>
      </w:r>
    </w:p>
    <w:sectPr w:rsidR="008E0963" w:rsidRPr="006E769D" w:rsidSect="0038660D">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8B4DB" w14:textId="77777777" w:rsidR="00D47075" w:rsidRDefault="00D47075">
      <w:r>
        <w:separator/>
      </w:r>
    </w:p>
  </w:endnote>
  <w:endnote w:type="continuationSeparator" w:id="0">
    <w:p w14:paraId="3A45AE19" w14:textId="77777777" w:rsidR="00D47075" w:rsidRDefault="00D4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E75CB" w14:textId="77777777" w:rsidR="009A642A" w:rsidRPr="003F0783" w:rsidRDefault="009A642A">
    <w:pPr>
      <w:pStyle w:val="Footer"/>
      <w:rPr>
        <w:b/>
        <w:sz w:val="18"/>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A69DD" w14:textId="77777777" w:rsidR="00D47075" w:rsidRDefault="00D47075">
      <w:r>
        <w:separator/>
      </w:r>
    </w:p>
  </w:footnote>
  <w:footnote w:type="continuationSeparator" w:id="0">
    <w:p w14:paraId="6FAAB31D" w14:textId="77777777" w:rsidR="00D47075" w:rsidRDefault="00D47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56917"/>
    <w:multiLevelType w:val="hybridMultilevel"/>
    <w:tmpl w:val="39443D80"/>
    <w:lvl w:ilvl="0" w:tplc="7810858E">
      <w:numFmt w:val="bullet"/>
      <w:lvlText w:val=""/>
      <w:lvlJc w:val="left"/>
      <w:pPr>
        <w:tabs>
          <w:tab w:val="num" w:pos="2160"/>
        </w:tabs>
        <w:ind w:left="2160" w:hanging="360"/>
      </w:pPr>
      <w:rPr>
        <w:rFonts w:ascii="Symbol" w:eastAsia="Times New Roman" w:hAnsi="Symbol" w:cs="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2DFF4D55"/>
    <w:multiLevelType w:val="hybridMultilevel"/>
    <w:tmpl w:val="D884C522"/>
    <w:lvl w:ilvl="0" w:tplc="FEBE7A70">
      <w:start w:val="5"/>
      <w:numFmt w:val="bullet"/>
      <w:lvlText w:val=""/>
      <w:lvlJc w:val="left"/>
      <w:pPr>
        <w:tabs>
          <w:tab w:val="num" w:pos="2520"/>
        </w:tabs>
        <w:ind w:left="2520" w:hanging="360"/>
      </w:pPr>
      <w:rPr>
        <w:rFonts w:ascii="Symbol" w:eastAsia="Times New Roman" w:hAnsi="Symbol" w:cs="Tahoma" w:hint="default"/>
      </w:rPr>
    </w:lvl>
    <w:lvl w:ilvl="1" w:tplc="04090003" w:tentative="1">
      <w:start w:val="1"/>
      <w:numFmt w:val="bullet"/>
      <w:lvlText w:val="o"/>
      <w:lvlJc w:val="left"/>
      <w:pPr>
        <w:tabs>
          <w:tab w:val="num" w:pos="3240"/>
        </w:tabs>
        <w:ind w:left="3240" w:hanging="360"/>
      </w:pPr>
      <w:rPr>
        <w:rFonts w:ascii="Courier New" w:hAnsi="Courier New" w:cs="Symbo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Symbo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Symbo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3AC84944"/>
    <w:multiLevelType w:val="hybridMultilevel"/>
    <w:tmpl w:val="F8882F9C"/>
    <w:lvl w:ilvl="0" w:tplc="FEBE7A70">
      <w:start w:val="5"/>
      <w:numFmt w:val="bullet"/>
      <w:lvlText w:val=""/>
      <w:lvlJc w:val="left"/>
      <w:pPr>
        <w:tabs>
          <w:tab w:val="num" w:pos="1656"/>
        </w:tabs>
        <w:ind w:left="1656" w:hanging="360"/>
      </w:pPr>
      <w:rPr>
        <w:rFonts w:ascii="Symbol" w:eastAsia="Times New Roman" w:hAnsi="Symbol" w:cs="Tahoma" w:hint="default"/>
      </w:rPr>
    </w:lvl>
    <w:lvl w:ilvl="1" w:tplc="04090003" w:tentative="1">
      <w:start w:val="1"/>
      <w:numFmt w:val="bullet"/>
      <w:lvlText w:val="o"/>
      <w:lvlJc w:val="left"/>
      <w:pPr>
        <w:tabs>
          <w:tab w:val="num" w:pos="2376"/>
        </w:tabs>
        <w:ind w:left="2376" w:hanging="360"/>
      </w:pPr>
      <w:rPr>
        <w:rFonts w:ascii="Courier New" w:hAnsi="Courier New" w:cs="Symbol"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Symbol"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Symbol"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3" w15:restartNumberingAfterBreak="0">
    <w:nsid w:val="4D1565FA"/>
    <w:multiLevelType w:val="multilevel"/>
    <w:tmpl w:val="FF88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EB733D"/>
    <w:multiLevelType w:val="multilevel"/>
    <w:tmpl w:val="6BD2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A86CE3"/>
    <w:multiLevelType w:val="multilevel"/>
    <w:tmpl w:val="2C563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4139FB"/>
    <w:multiLevelType w:val="hybridMultilevel"/>
    <w:tmpl w:val="27C03AD6"/>
    <w:lvl w:ilvl="0" w:tplc="FEBE7A70">
      <w:start w:val="5"/>
      <w:numFmt w:val="bullet"/>
      <w:lvlText w:val=""/>
      <w:lvlJc w:val="left"/>
      <w:pPr>
        <w:tabs>
          <w:tab w:val="num" w:pos="1656"/>
        </w:tabs>
        <w:ind w:left="1656" w:hanging="360"/>
      </w:pPr>
      <w:rPr>
        <w:rFonts w:ascii="Symbol" w:eastAsia="Times New Roman" w:hAnsi="Symbol" w:cs="Tahoma" w:hint="default"/>
      </w:rPr>
    </w:lvl>
    <w:lvl w:ilvl="1" w:tplc="04090003" w:tentative="1">
      <w:start w:val="1"/>
      <w:numFmt w:val="bullet"/>
      <w:lvlText w:val="o"/>
      <w:lvlJc w:val="left"/>
      <w:pPr>
        <w:tabs>
          <w:tab w:val="num" w:pos="2376"/>
        </w:tabs>
        <w:ind w:left="2376" w:hanging="360"/>
      </w:pPr>
      <w:rPr>
        <w:rFonts w:ascii="Courier New" w:hAnsi="Courier New" w:cs="Symbol"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Symbol"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Symbol"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7" w15:restartNumberingAfterBreak="0">
    <w:nsid w:val="6A4107F2"/>
    <w:multiLevelType w:val="multilevel"/>
    <w:tmpl w:val="03D6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1D79E8"/>
    <w:multiLevelType w:val="hybridMultilevel"/>
    <w:tmpl w:val="3C3A0CB6"/>
    <w:lvl w:ilvl="0" w:tplc="7810858E">
      <w:numFmt w:val="bullet"/>
      <w:lvlText w:val=""/>
      <w:lvlJc w:val="left"/>
      <w:pPr>
        <w:tabs>
          <w:tab w:val="num" w:pos="2700"/>
        </w:tabs>
        <w:ind w:left="2700" w:hanging="360"/>
      </w:pPr>
      <w:rPr>
        <w:rFonts w:ascii="Symbol" w:eastAsia="Times New Roman" w:hAnsi="Symbol" w:cs="Symbol" w:hint="default"/>
      </w:rPr>
    </w:lvl>
    <w:lvl w:ilvl="1" w:tplc="04090003" w:tentative="1">
      <w:start w:val="1"/>
      <w:numFmt w:val="bullet"/>
      <w:lvlText w:val="o"/>
      <w:lvlJc w:val="left"/>
      <w:pPr>
        <w:tabs>
          <w:tab w:val="num" w:pos="1980"/>
        </w:tabs>
        <w:ind w:left="1980" w:hanging="360"/>
      </w:pPr>
      <w:rPr>
        <w:rFonts w:ascii="Courier New" w:hAnsi="Courier New" w:cs="Symbo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Symbo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Symbo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71871728"/>
    <w:multiLevelType w:val="multilevel"/>
    <w:tmpl w:val="370C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E055D6"/>
    <w:multiLevelType w:val="hybridMultilevel"/>
    <w:tmpl w:val="7B8AFC88"/>
    <w:lvl w:ilvl="0" w:tplc="FEBE7A70">
      <w:start w:val="5"/>
      <w:numFmt w:val="bullet"/>
      <w:lvlText w:val=""/>
      <w:lvlJc w:val="left"/>
      <w:pPr>
        <w:tabs>
          <w:tab w:val="num" w:pos="1656"/>
        </w:tabs>
        <w:ind w:left="1656" w:hanging="360"/>
      </w:pPr>
      <w:rPr>
        <w:rFonts w:ascii="Symbol" w:eastAsia="Times New Roman" w:hAnsi="Symbol" w:cs="Tahoma" w:hint="default"/>
      </w:rPr>
    </w:lvl>
    <w:lvl w:ilvl="1" w:tplc="04090003" w:tentative="1">
      <w:start w:val="1"/>
      <w:numFmt w:val="bullet"/>
      <w:lvlText w:val="o"/>
      <w:lvlJc w:val="left"/>
      <w:pPr>
        <w:tabs>
          <w:tab w:val="num" w:pos="2376"/>
        </w:tabs>
        <w:ind w:left="2376" w:hanging="360"/>
      </w:pPr>
      <w:rPr>
        <w:rFonts w:ascii="Courier New" w:hAnsi="Courier New" w:cs="Symbol"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Symbol"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Symbol"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11" w15:restartNumberingAfterBreak="0">
    <w:nsid w:val="7D6B410D"/>
    <w:multiLevelType w:val="multilevel"/>
    <w:tmpl w:val="C80C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43734D"/>
    <w:multiLevelType w:val="hybridMultilevel"/>
    <w:tmpl w:val="5E766D3A"/>
    <w:lvl w:ilvl="0" w:tplc="7810858E">
      <w:numFmt w:val="bullet"/>
      <w:lvlText w:val=""/>
      <w:lvlJc w:val="left"/>
      <w:pPr>
        <w:tabs>
          <w:tab w:val="num" w:pos="2700"/>
        </w:tabs>
        <w:ind w:left="2700" w:hanging="360"/>
      </w:pPr>
      <w:rPr>
        <w:rFonts w:ascii="Symbol" w:eastAsia="Times New Roman" w:hAnsi="Symbol" w:cs="Symbol" w:hint="default"/>
      </w:rPr>
    </w:lvl>
    <w:lvl w:ilvl="1" w:tplc="04090003" w:tentative="1">
      <w:start w:val="1"/>
      <w:numFmt w:val="bullet"/>
      <w:lvlText w:val="o"/>
      <w:lvlJc w:val="left"/>
      <w:pPr>
        <w:tabs>
          <w:tab w:val="num" w:pos="1980"/>
        </w:tabs>
        <w:ind w:left="1980" w:hanging="360"/>
      </w:pPr>
      <w:rPr>
        <w:rFonts w:ascii="Courier New" w:hAnsi="Courier New" w:cs="Symbo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Symbo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Symbol"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16cid:durableId="10420948">
    <w:abstractNumId w:val="10"/>
  </w:num>
  <w:num w:numId="2" w16cid:durableId="712071815">
    <w:abstractNumId w:val="2"/>
  </w:num>
  <w:num w:numId="3" w16cid:durableId="625740133">
    <w:abstractNumId w:val="6"/>
  </w:num>
  <w:num w:numId="4" w16cid:durableId="191919491">
    <w:abstractNumId w:val="1"/>
  </w:num>
  <w:num w:numId="5" w16cid:durableId="1647129859">
    <w:abstractNumId w:val="0"/>
  </w:num>
  <w:num w:numId="6" w16cid:durableId="1602487794">
    <w:abstractNumId w:val="8"/>
  </w:num>
  <w:num w:numId="7" w16cid:durableId="1402169350">
    <w:abstractNumId w:val="12"/>
  </w:num>
  <w:num w:numId="8" w16cid:durableId="1075281774">
    <w:abstractNumId w:val="9"/>
  </w:num>
  <w:num w:numId="9" w16cid:durableId="240451859">
    <w:abstractNumId w:val="11"/>
  </w:num>
  <w:num w:numId="10" w16cid:durableId="293407453">
    <w:abstractNumId w:val="4"/>
  </w:num>
  <w:num w:numId="11" w16cid:durableId="125514096">
    <w:abstractNumId w:val="7"/>
  </w:num>
  <w:num w:numId="12" w16cid:durableId="505097546">
    <w:abstractNumId w:val="5"/>
  </w:num>
  <w:num w:numId="13" w16cid:durableId="7768773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1B53"/>
    <w:rsid w:val="00003798"/>
    <w:rsid w:val="000B2CB6"/>
    <w:rsid w:val="000E0180"/>
    <w:rsid w:val="00113176"/>
    <w:rsid w:val="00273486"/>
    <w:rsid w:val="003066BF"/>
    <w:rsid w:val="0038660D"/>
    <w:rsid w:val="00472ACF"/>
    <w:rsid w:val="00495A82"/>
    <w:rsid w:val="004C4C94"/>
    <w:rsid w:val="004F7099"/>
    <w:rsid w:val="004F791D"/>
    <w:rsid w:val="0052561A"/>
    <w:rsid w:val="00600153"/>
    <w:rsid w:val="006460A6"/>
    <w:rsid w:val="006B1A3D"/>
    <w:rsid w:val="006E2963"/>
    <w:rsid w:val="006E769D"/>
    <w:rsid w:val="00723C33"/>
    <w:rsid w:val="00736A89"/>
    <w:rsid w:val="007912F0"/>
    <w:rsid w:val="00812F79"/>
    <w:rsid w:val="00895B44"/>
    <w:rsid w:val="008A38A9"/>
    <w:rsid w:val="008E0963"/>
    <w:rsid w:val="00904CC7"/>
    <w:rsid w:val="00941E47"/>
    <w:rsid w:val="00964C7B"/>
    <w:rsid w:val="009910D8"/>
    <w:rsid w:val="009A642A"/>
    <w:rsid w:val="009E6C5A"/>
    <w:rsid w:val="00A25A94"/>
    <w:rsid w:val="00A2767B"/>
    <w:rsid w:val="00A56E55"/>
    <w:rsid w:val="00A91036"/>
    <w:rsid w:val="00AB6DD4"/>
    <w:rsid w:val="00AE2AA6"/>
    <w:rsid w:val="00C35D5A"/>
    <w:rsid w:val="00CF1B53"/>
    <w:rsid w:val="00D20B36"/>
    <w:rsid w:val="00D3551C"/>
    <w:rsid w:val="00D47075"/>
    <w:rsid w:val="00F46E8F"/>
    <w:rsid w:val="00FA1463"/>
    <w:rsid w:val="00FB5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CD566"/>
  <w15:chartTrackingRefBased/>
  <w15:docId w15:val="{2FEB86B5-8EE6-409C-936F-2DBB7B46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4233"/>
    <w:rPr>
      <w:rFonts w:ascii="Tahoma" w:hAnsi="Tahoma" w:cs="Tahoma"/>
      <w:sz w:val="16"/>
      <w:szCs w:val="16"/>
    </w:rPr>
  </w:style>
  <w:style w:type="paragraph" w:styleId="Header">
    <w:name w:val="header"/>
    <w:basedOn w:val="Normal"/>
    <w:rsid w:val="003F0783"/>
    <w:pPr>
      <w:tabs>
        <w:tab w:val="center" w:pos="4320"/>
        <w:tab w:val="right" w:pos="8640"/>
      </w:tabs>
    </w:pPr>
  </w:style>
  <w:style w:type="paragraph" w:styleId="Footer">
    <w:name w:val="footer"/>
    <w:basedOn w:val="Normal"/>
    <w:semiHidden/>
    <w:rsid w:val="003F0783"/>
    <w:pPr>
      <w:tabs>
        <w:tab w:val="center" w:pos="4320"/>
        <w:tab w:val="right" w:pos="8640"/>
      </w:tabs>
    </w:pPr>
  </w:style>
  <w:style w:type="paragraph" w:styleId="NoSpacing">
    <w:name w:val="No Spacing"/>
    <w:uiPriority w:val="1"/>
    <w:qFormat/>
    <w:rsid w:val="00600153"/>
    <w:rPr>
      <w:sz w:val="24"/>
      <w:szCs w:val="24"/>
    </w:rPr>
  </w:style>
  <w:style w:type="character" w:styleId="Hyperlink">
    <w:name w:val="Hyperlink"/>
    <w:uiPriority w:val="99"/>
    <w:unhideWhenUsed/>
    <w:rsid w:val="00472ACF"/>
    <w:rPr>
      <w:color w:val="467886"/>
      <w:u w:val="single"/>
    </w:rPr>
  </w:style>
  <w:style w:type="character" w:styleId="Strong">
    <w:name w:val="Strong"/>
    <w:uiPriority w:val="22"/>
    <w:qFormat/>
    <w:rsid w:val="006E769D"/>
    <w:rPr>
      <w:b/>
      <w:bCs/>
    </w:rPr>
  </w:style>
  <w:style w:type="paragraph" w:styleId="NormalWeb">
    <w:name w:val="Normal (Web)"/>
    <w:basedOn w:val="Normal"/>
    <w:rsid w:val="004F7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2305">
      <w:bodyDiv w:val="1"/>
      <w:marLeft w:val="0"/>
      <w:marRight w:val="0"/>
      <w:marTop w:val="0"/>
      <w:marBottom w:val="0"/>
      <w:divBdr>
        <w:top w:val="none" w:sz="0" w:space="0" w:color="auto"/>
        <w:left w:val="none" w:sz="0" w:space="0" w:color="auto"/>
        <w:bottom w:val="none" w:sz="0" w:space="0" w:color="auto"/>
        <w:right w:val="none" w:sz="0" w:space="0" w:color="auto"/>
      </w:divBdr>
    </w:div>
    <w:div w:id="134416583">
      <w:bodyDiv w:val="1"/>
      <w:marLeft w:val="0"/>
      <w:marRight w:val="0"/>
      <w:marTop w:val="0"/>
      <w:marBottom w:val="0"/>
      <w:divBdr>
        <w:top w:val="none" w:sz="0" w:space="0" w:color="auto"/>
        <w:left w:val="none" w:sz="0" w:space="0" w:color="auto"/>
        <w:bottom w:val="none" w:sz="0" w:space="0" w:color="auto"/>
        <w:right w:val="none" w:sz="0" w:space="0" w:color="auto"/>
      </w:divBdr>
    </w:div>
    <w:div w:id="146017340">
      <w:bodyDiv w:val="1"/>
      <w:marLeft w:val="0"/>
      <w:marRight w:val="0"/>
      <w:marTop w:val="0"/>
      <w:marBottom w:val="0"/>
      <w:divBdr>
        <w:top w:val="none" w:sz="0" w:space="0" w:color="auto"/>
        <w:left w:val="none" w:sz="0" w:space="0" w:color="auto"/>
        <w:bottom w:val="none" w:sz="0" w:space="0" w:color="auto"/>
        <w:right w:val="none" w:sz="0" w:space="0" w:color="auto"/>
      </w:divBdr>
    </w:div>
    <w:div w:id="539786983">
      <w:bodyDiv w:val="1"/>
      <w:marLeft w:val="0"/>
      <w:marRight w:val="0"/>
      <w:marTop w:val="0"/>
      <w:marBottom w:val="0"/>
      <w:divBdr>
        <w:top w:val="none" w:sz="0" w:space="0" w:color="auto"/>
        <w:left w:val="none" w:sz="0" w:space="0" w:color="auto"/>
        <w:bottom w:val="none" w:sz="0" w:space="0" w:color="auto"/>
        <w:right w:val="none" w:sz="0" w:space="0" w:color="auto"/>
      </w:divBdr>
    </w:div>
    <w:div w:id="778989156">
      <w:bodyDiv w:val="1"/>
      <w:marLeft w:val="0"/>
      <w:marRight w:val="0"/>
      <w:marTop w:val="0"/>
      <w:marBottom w:val="0"/>
      <w:divBdr>
        <w:top w:val="none" w:sz="0" w:space="0" w:color="auto"/>
        <w:left w:val="none" w:sz="0" w:space="0" w:color="auto"/>
        <w:bottom w:val="none" w:sz="0" w:space="0" w:color="auto"/>
        <w:right w:val="none" w:sz="0" w:space="0" w:color="auto"/>
      </w:divBdr>
    </w:div>
    <w:div w:id="944191664">
      <w:bodyDiv w:val="1"/>
      <w:marLeft w:val="0"/>
      <w:marRight w:val="0"/>
      <w:marTop w:val="0"/>
      <w:marBottom w:val="0"/>
      <w:divBdr>
        <w:top w:val="none" w:sz="0" w:space="0" w:color="auto"/>
        <w:left w:val="none" w:sz="0" w:space="0" w:color="auto"/>
        <w:bottom w:val="none" w:sz="0" w:space="0" w:color="auto"/>
        <w:right w:val="none" w:sz="0" w:space="0" w:color="auto"/>
      </w:divBdr>
    </w:div>
    <w:div w:id="1108043507">
      <w:bodyDiv w:val="1"/>
      <w:marLeft w:val="0"/>
      <w:marRight w:val="0"/>
      <w:marTop w:val="0"/>
      <w:marBottom w:val="0"/>
      <w:divBdr>
        <w:top w:val="none" w:sz="0" w:space="0" w:color="auto"/>
        <w:left w:val="none" w:sz="0" w:space="0" w:color="auto"/>
        <w:bottom w:val="none" w:sz="0" w:space="0" w:color="auto"/>
        <w:right w:val="none" w:sz="0" w:space="0" w:color="auto"/>
      </w:divBdr>
    </w:div>
    <w:div w:id="1134059967">
      <w:bodyDiv w:val="1"/>
      <w:marLeft w:val="0"/>
      <w:marRight w:val="0"/>
      <w:marTop w:val="0"/>
      <w:marBottom w:val="0"/>
      <w:divBdr>
        <w:top w:val="none" w:sz="0" w:space="0" w:color="auto"/>
        <w:left w:val="none" w:sz="0" w:space="0" w:color="auto"/>
        <w:bottom w:val="none" w:sz="0" w:space="0" w:color="auto"/>
        <w:right w:val="none" w:sz="0" w:space="0" w:color="auto"/>
      </w:divBdr>
    </w:div>
    <w:div w:id="1167359422">
      <w:bodyDiv w:val="1"/>
      <w:marLeft w:val="0"/>
      <w:marRight w:val="0"/>
      <w:marTop w:val="0"/>
      <w:marBottom w:val="0"/>
      <w:divBdr>
        <w:top w:val="none" w:sz="0" w:space="0" w:color="auto"/>
        <w:left w:val="none" w:sz="0" w:space="0" w:color="auto"/>
        <w:bottom w:val="none" w:sz="0" w:space="0" w:color="auto"/>
        <w:right w:val="none" w:sz="0" w:space="0" w:color="auto"/>
      </w:divBdr>
    </w:div>
    <w:div w:id="1321233380">
      <w:bodyDiv w:val="1"/>
      <w:marLeft w:val="0"/>
      <w:marRight w:val="0"/>
      <w:marTop w:val="0"/>
      <w:marBottom w:val="0"/>
      <w:divBdr>
        <w:top w:val="none" w:sz="0" w:space="0" w:color="auto"/>
        <w:left w:val="none" w:sz="0" w:space="0" w:color="auto"/>
        <w:bottom w:val="none" w:sz="0" w:space="0" w:color="auto"/>
        <w:right w:val="none" w:sz="0" w:space="0" w:color="auto"/>
      </w:divBdr>
    </w:div>
    <w:div w:id="145420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mailto:braden.fitzgerald@flowstatesolutions.a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36BDAA6F997D45B19B3138CD83002E" ma:contentTypeVersion="6" ma:contentTypeDescription="Create a new document." ma:contentTypeScope="" ma:versionID="ba48936acf2c0be2d09c4575e81220db">
  <xsd:schema xmlns:xsd="http://www.w3.org/2001/XMLSchema" xmlns:xs="http://www.w3.org/2001/XMLSchema" xmlns:p="http://schemas.microsoft.com/office/2006/metadata/properties" xmlns:ns1="http://schemas.microsoft.com/sharepoint/v3" xmlns:ns2="c9b570eb-ac08-4c08-a457-2c1359cc2c3e" targetNamespace="http://schemas.microsoft.com/office/2006/metadata/properties" ma:root="true" ma:fieldsID="d26e3de463a153d01c654c9f694685d1" ns1:_="" ns2:_="">
    <xsd:import namespace="http://schemas.microsoft.com/sharepoint/v3"/>
    <xsd:import namespace="c9b570eb-ac08-4c08-a457-2c1359cc2c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b570eb-ac08-4c08-a457-2c1359cc2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8789BF-D5F3-4475-A5A9-DFE240A5CA6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6A8AD87-41A4-4CDE-84B4-91214A5A7896}">
  <ds:schemaRefs>
    <ds:schemaRef ds:uri="http://schemas.microsoft.com/sharepoint/v3/contenttype/forms"/>
  </ds:schemaRefs>
</ds:datastoreItem>
</file>

<file path=customXml/itemProps3.xml><?xml version="1.0" encoding="utf-8"?>
<ds:datastoreItem xmlns:ds="http://schemas.openxmlformats.org/officeDocument/2006/customXml" ds:itemID="{4A2E6076-0FAC-41B7-A620-FCF0BBD16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b570eb-ac08-4c08-a457-2c1359cc2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815091d-e9a5-4461-86f4-71d07d37b1bd}" enabled="0" method="" siteId="{4815091d-e9a5-4461-86f4-71d07d37b1bd}" removed="1"/>
</clbl:labelList>
</file>

<file path=docProps/app.xml><?xml version="1.0" encoding="utf-8"?>
<Properties xmlns="http://schemas.openxmlformats.org/officeDocument/2006/extended-properties" xmlns:vt="http://schemas.openxmlformats.org/officeDocument/2006/docPropsVTypes">
  <Template>Normal.dotm</Template>
  <TotalTime>4355</TotalTime>
  <Pages>4</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Quarterly Report</vt:lpstr>
    </vt:vector>
  </TitlesOfParts>
  <Company>Paxian Corporation</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dc:title>
  <dc:subject/>
  <dc:creator>Mary Lockhart</dc:creator>
  <cp:keywords/>
  <dc:description/>
  <cp:lastModifiedBy>Braden Fitz-Gerald</cp:lastModifiedBy>
  <cp:revision>30</cp:revision>
  <dcterms:created xsi:type="dcterms:W3CDTF">2025-03-27T16:34:00Z</dcterms:created>
  <dcterms:modified xsi:type="dcterms:W3CDTF">2025-07-01T12:45:00Z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0x0101002E36BDAA6F997D45B19B3138CD83002E</vt:lpwstr>
  </property>
</Properties>
</file>