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0987A" w14:textId="77777777" w:rsidR="009A642A" w:rsidRDefault="009A642A" w:rsidP="009A642A">
      <w:pPr>
        <w:ind w:left="720"/>
        <w:jc w:val="center"/>
      </w:pPr>
      <w:r>
        <w:rPr>
          <w:b/>
          <w:bCs/>
          <w:sz w:val="32"/>
          <w:szCs w:val="32"/>
        </w:rPr>
        <w:t>Quarterly Report – Public Page</w:t>
      </w:r>
    </w:p>
    <w:p w14:paraId="46F675D4" w14:textId="77777777" w:rsidR="009A642A" w:rsidRDefault="009A642A" w:rsidP="009A642A">
      <w:pPr>
        <w:ind w:left="720"/>
      </w:pPr>
      <w:r>
        <w:t> </w:t>
      </w:r>
    </w:p>
    <w:p w14:paraId="781310DE" w14:textId="77777777" w:rsidR="009A642A" w:rsidRDefault="009A642A" w:rsidP="009A642A">
      <w:pPr>
        <w:ind w:left="936"/>
      </w:pPr>
    </w:p>
    <w:p w14:paraId="2A8B553B" w14:textId="77777777" w:rsidR="00472ACF" w:rsidRPr="0054195E" w:rsidRDefault="00472ACF" w:rsidP="00472ACF">
      <w:pPr>
        <w:pStyle w:val="NoSpacing"/>
      </w:pPr>
      <w:r w:rsidRPr="0054195E">
        <w:rPr>
          <w:b/>
        </w:rPr>
        <w:t>Date of Report:</w:t>
      </w:r>
      <w:r w:rsidRPr="0054195E">
        <w:t xml:space="preserve"> </w:t>
      </w:r>
      <w:r>
        <w:rPr>
          <w:i/>
        </w:rPr>
        <w:t>March 31, 2025 (2</w:t>
      </w:r>
      <w:r w:rsidRPr="001A6590">
        <w:rPr>
          <w:i/>
          <w:vertAlign w:val="superscript"/>
        </w:rPr>
        <w:t>nd</w:t>
      </w:r>
      <w:r>
        <w:rPr>
          <w:i/>
        </w:rPr>
        <w:t xml:space="preserve"> Quarterly Report)</w:t>
      </w:r>
    </w:p>
    <w:p w14:paraId="3E518AC8" w14:textId="77777777" w:rsidR="00472ACF" w:rsidRPr="0054195E" w:rsidRDefault="00472ACF" w:rsidP="00472ACF">
      <w:pPr>
        <w:pStyle w:val="NoSpacing"/>
      </w:pPr>
      <w:r w:rsidRPr="0054195E">
        <w:rPr>
          <w:b/>
        </w:rPr>
        <w:t>Contract Number:</w:t>
      </w:r>
      <w:r w:rsidRPr="0054195E">
        <w:t xml:space="preserve">  </w:t>
      </w:r>
      <w:r w:rsidRPr="00A81B61">
        <w:rPr>
          <w:i/>
        </w:rPr>
        <w:t>693JK32410006POTA</w:t>
      </w:r>
    </w:p>
    <w:p w14:paraId="5945E608" w14:textId="77777777" w:rsidR="00472ACF" w:rsidRPr="0054195E" w:rsidRDefault="00472ACF" w:rsidP="00472ACF">
      <w:pPr>
        <w:pStyle w:val="NoSpacing"/>
      </w:pPr>
      <w:r w:rsidRPr="0054195E">
        <w:rPr>
          <w:b/>
        </w:rPr>
        <w:t>Prepared for:</w:t>
      </w:r>
      <w:r w:rsidRPr="0054195E">
        <w:t xml:space="preserve"> </w:t>
      </w:r>
      <w:r>
        <w:rPr>
          <w:i/>
        </w:rPr>
        <w:t>PHMSA</w:t>
      </w:r>
    </w:p>
    <w:p w14:paraId="6996B6C4" w14:textId="77777777" w:rsidR="00472ACF" w:rsidRPr="00A81B61" w:rsidRDefault="00472ACF" w:rsidP="00472ACF">
      <w:pPr>
        <w:pStyle w:val="NoSpacing"/>
        <w:rPr>
          <w:i/>
        </w:rPr>
      </w:pPr>
      <w:r w:rsidRPr="0054195E">
        <w:rPr>
          <w:b/>
        </w:rPr>
        <w:t>Project Title:</w:t>
      </w:r>
      <w:r w:rsidRPr="0054195E">
        <w:t xml:space="preserve"> </w:t>
      </w:r>
      <w:r w:rsidRPr="00A81B61">
        <w:rPr>
          <w:i/>
        </w:rPr>
        <w:t>Advanced Leak Detection Capabilities for Compressible Hydrocarbon Products</w:t>
      </w:r>
    </w:p>
    <w:p w14:paraId="55EE72B1" w14:textId="77777777" w:rsidR="00472ACF" w:rsidRPr="0054195E" w:rsidRDefault="00472ACF" w:rsidP="00472ACF">
      <w:pPr>
        <w:pStyle w:val="NoSpacing"/>
      </w:pPr>
      <w:r w:rsidRPr="0054195E">
        <w:rPr>
          <w:b/>
        </w:rPr>
        <w:t>Prepared by:</w:t>
      </w:r>
      <w:r w:rsidRPr="0054195E">
        <w:t xml:space="preserve">  </w:t>
      </w:r>
      <w:r>
        <w:rPr>
          <w:i/>
        </w:rPr>
        <w:t>Flowstate Solutions</w:t>
      </w:r>
    </w:p>
    <w:p w14:paraId="37B2C2F3" w14:textId="77777777" w:rsidR="00472ACF" w:rsidRPr="0054195E" w:rsidRDefault="00472ACF" w:rsidP="00472ACF">
      <w:pPr>
        <w:pStyle w:val="NoSpacing"/>
      </w:pPr>
      <w:r w:rsidRPr="0054195E">
        <w:rPr>
          <w:b/>
        </w:rPr>
        <w:t>Contact Information:</w:t>
      </w:r>
      <w:r w:rsidRPr="0054195E">
        <w:t> </w:t>
      </w:r>
      <w:r w:rsidRPr="001127DB">
        <w:rPr>
          <w:i/>
        </w:rPr>
        <w:t xml:space="preserve"> </w:t>
      </w:r>
      <w:r>
        <w:rPr>
          <w:i/>
        </w:rPr>
        <w:t xml:space="preserve">Braden Fitz-Gerald | </w:t>
      </w:r>
      <w:hyperlink r:id="rId10" w:history="1">
        <w:r w:rsidRPr="00D01D58">
          <w:rPr>
            <w:rStyle w:val="Hyperlink"/>
            <w:i/>
          </w:rPr>
          <w:t>braden.fitzgerald@flowstatesolutions.ai</w:t>
        </w:r>
      </w:hyperlink>
      <w:r>
        <w:rPr>
          <w:i/>
        </w:rPr>
        <w:t xml:space="preserve"> | 307-399-7516</w:t>
      </w:r>
    </w:p>
    <w:p w14:paraId="5FEDA52A" w14:textId="77777777" w:rsidR="00472ACF" w:rsidRPr="0054195E" w:rsidRDefault="00472ACF" w:rsidP="00472ACF">
      <w:pPr>
        <w:pStyle w:val="NoSpacing"/>
      </w:pPr>
      <w:r w:rsidRPr="0054195E">
        <w:rPr>
          <w:b/>
        </w:rPr>
        <w:t>For quarterly period ending:</w:t>
      </w:r>
      <w:r w:rsidRPr="0054195E">
        <w:t xml:space="preserve">  </w:t>
      </w:r>
      <w:r>
        <w:rPr>
          <w:i/>
        </w:rPr>
        <w:t>March 31, 2025</w:t>
      </w:r>
    </w:p>
    <w:p w14:paraId="1AAB8DE7" w14:textId="77777777" w:rsidR="009A642A" w:rsidRDefault="009A642A" w:rsidP="009A642A">
      <w:pPr>
        <w:ind w:left="540"/>
        <w:rPr>
          <w:i/>
        </w:rPr>
      </w:pPr>
    </w:p>
    <w:p w14:paraId="426F8560" w14:textId="77777777" w:rsidR="003066BF" w:rsidRPr="00A7663D" w:rsidRDefault="003066BF" w:rsidP="003066BF">
      <w:pPr>
        <w:pStyle w:val="NoSpacing"/>
        <w:rPr>
          <w:b/>
        </w:rPr>
      </w:pPr>
      <w:r>
        <w:rPr>
          <w:b/>
        </w:rPr>
        <w:t xml:space="preserve">1: Items </w:t>
      </w:r>
      <w:r w:rsidRPr="00A7663D">
        <w:rPr>
          <w:b/>
        </w:rPr>
        <w:t>Completed During this Quarterly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4090"/>
        <w:gridCol w:w="2231"/>
        <w:gridCol w:w="1337"/>
        <w:gridCol w:w="1180"/>
      </w:tblGrid>
      <w:tr w:rsidR="009E6C5A" w:rsidRPr="003D7597" w14:paraId="49800015" w14:textId="77777777" w:rsidTr="004B5223">
        <w:trPr>
          <w:trHeight w:val="300"/>
        </w:trPr>
        <w:tc>
          <w:tcPr>
            <w:tcW w:w="670" w:type="dxa"/>
            <w:shd w:val="clear" w:color="auto" w:fill="auto"/>
          </w:tcPr>
          <w:p w14:paraId="6B83899E" w14:textId="77777777" w:rsidR="009E6C5A" w:rsidRPr="003D7597" w:rsidRDefault="009E6C5A" w:rsidP="004B5223">
            <w:pPr>
              <w:pStyle w:val="NoSpacing"/>
              <w:rPr>
                <w:b/>
                <w:i/>
              </w:rPr>
            </w:pPr>
            <w:r w:rsidRPr="003D7597">
              <w:rPr>
                <w:b/>
                <w:i/>
              </w:rPr>
              <w:t>Item #</w:t>
            </w:r>
          </w:p>
        </w:tc>
        <w:tc>
          <w:tcPr>
            <w:tcW w:w="698" w:type="dxa"/>
          </w:tcPr>
          <w:p w14:paraId="30436963" w14:textId="77777777" w:rsidR="009E6C5A" w:rsidRPr="003D7597" w:rsidRDefault="009E6C5A" w:rsidP="004B5223">
            <w:pPr>
              <w:pStyle w:val="NoSpacing"/>
              <w:rPr>
                <w:b/>
                <w:i/>
              </w:rPr>
            </w:pPr>
            <w:r>
              <w:rPr>
                <w:b/>
                <w:i/>
              </w:rPr>
              <w:t>Task #</w:t>
            </w:r>
          </w:p>
        </w:tc>
        <w:tc>
          <w:tcPr>
            <w:tcW w:w="4090" w:type="dxa"/>
            <w:shd w:val="clear" w:color="auto" w:fill="auto"/>
          </w:tcPr>
          <w:p w14:paraId="252EBF87" w14:textId="77777777" w:rsidR="009E6C5A" w:rsidRPr="003D7597" w:rsidRDefault="009E6C5A" w:rsidP="004B5223">
            <w:pPr>
              <w:pStyle w:val="NoSpacing"/>
              <w:rPr>
                <w:b/>
                <w:i/>
              </w:rPr>
            </w:pPr>
            <w:r w:rsidRPr="003D7597">
              <w:rPr>
                <w:b/>
                <w:i/>
              </w:rPr>
              <w:t>Activity/Deliverable</w:t>
            </w:r>
          </w:p>
        </w:tc>
        <w:tc>
          <w:tcPr>
            <w:tcW w:w="2231" w:type="dxa"/>
            <w:shd w:val="clear" w:color="auto" w:fill="auto"/>
          </w:tcPr>
          <w:p w14:paraId="0D76593D" w14:textId="77777777" w:rsidR="009E6C5A" w:rsidRPr="003D7597" w:rsidRDefault="009E6C5A" w:rsidP="004B5223">
            <w:pPr>
              <w:pStyle w:val="NoSpacing"/>
              <w:rPr>
                <w:b/>
                <w:i/>
              </w:rPr>
            </w:pPr>
            <w:r w:rsidRPr="003D7597">
              <w:rPr>
                <w:b/>
                <w:i/>
              </w:rPr>
              <w:t>Title</w:t>
            </w:r>
          </w:p>
        </w:tc>
        <w:tc>
          <w:tcPr>
            <w:tcW w:w="1337" w:type="dxa"/>
            <w:shd w:val="clear" w:color="auto" w:fill="auto"/>
          </w:tcPr>
          <w:p w14:paraId="104A3FAC" w14:textId="77777777" w:rsidR="009E6C5A" w:rsidRPr="003D7597" w:rsidRDefault="009E6C5A" w:rsidP="004B5223">
            <w:pPr>
              <w:pStyle w:val="NoSpacing"/>
              <w:rPr>
                <w:b/>
                <w:i/>
              </w:rPr>
            </w:pPr>
            <w:r w:rsidRPr="003D7597">
              <w:rPr>
                <w:b/>
                <w:i/>
              </w:rPr>
              <w:t>Federal Cost</w:t>
            </w:r>
          </w:p>
        </w:tc>
        <w:tc>
          <w:tcPr>
            <w:tcW w:w="1180" w:type="dxa"/>
            <w:shd w:val="clear" w:color="auto" w:fill="auto"/>
          </w:tcPr>
          <w:p w14:paraId="0B795A0B" w14:textId="77777777" w:rsidR="009E6C5A" w:rsidRPr="003D7597" w:rsidRDefault="009E6C5A" w:rsidP="004B5223">
            <w:pPr>
              <w:pStyle w:val="NoSpacing"/>
              <w:rPr>
                <w:b/>
                <w:i/>
              </w:rPr>
            </w:pPr>
            <w:r w:rsidRPr="003D7597">
              <w:rPr>
                <w:b/>
                <w:i/>
              </w:rPr>
              <w:t>Cost Share</w:t>
            </w:r>
          </w:p>
        </w:tc>
      </w:tr>
      <w:tr w:rsidR="009E6C5A" w:rsidRPr="003D7597" w14:paraId="5F73330F" w14:textId="77777777" w:rsidTr="004B5223">
        <w:trPr>
          <w:trHeight w:val="289"/>
        </w:trPr>
        <w:tc>
          <w:tcPr>
            <w:tcW w:w="670" w:type="dxa"/>
            <w:shd w:val="clear" w:color="auto" w:fill="auto"/>
          </w:tcPr>
          <w:p w14:paraId="4E900649" w14:textId="77777777" w:rsidR="009E6C5A" w:rsidRPr="003D7597" w:rsidRDefault="009E6C5A" w:rsidP="004B5223">
            <w:pPr>
              <w:pStyle w:val="NoSpacing"/>
              <w:rPr>
                <w:b/>
                <w:i/>
              </w:rPr>
            </w:pPr>
            <w:r>
              <w:rPr>
                <w:b/>
                <w:i/>
              </w:rPr>
              <w:t>1</w:t>
            </w:r>
          </w:p>
        </w:tc>
        <w:tc>
          <w:tcPr>
            <w:tcW w:w="698" w:type="dxa"/>
          </w:tcPr>
          <w:p w14:paraId="064E0480" w14:textId="77777777" w:rsidR="009E6C5A" w:rsidRPr="003D7597" w:rsidRDefault="009E6C5A" w:rsidP="004B5223">
            <w:pPr>
              <w:pStyle w:val="NoSpacing"/>
              <w:rPr>
                <w:b/>
                <w:i/>
              </w:rPr>
            </w:pPr>
            <w:r>
              <w:rPr>
                <w:b/>
                <w:i/>
              </w:rPr>
              <w:t>1</w:t>
            </w:r>
          </w:p>
        </w:tc>
        <w:tc>
          <w:tcPr>
            <w:tcW w:w="4090" w:type="dxa"/>
            <w:shd w:val="clear" w:color="auto" w:fill="auto"/>
          </w:tcPr>
          <w:p w14:paraId="7A0F5E24" w14:textId="77777777" w:rsidR="009E6C5A" w:rsidRPr="001A6590" w:rsidRDefault="009E6C5A" w:rsidP="004B5223">
            <w:pPr>
              <w:pStyle w:val="NoSpacing"/>
              <w:rPr>
                <w:b/>
                <w:i/>
              </w:rPr>
            </w:pPr>
            <w:r w:rsidRPr="001A6590">
              <w:rPr>
                <w:b/>
                <w:i/>
              </w:rPr>
              <w:t>Identify and finalize partnerships with pipeline operators to access data, facilitate physical withdrawal tests, and gain domain expertise. This is critical for obtaining real-world data and conducting physical tests.</w:t>
            </w:r>
          </w:p>
        </w:tc>
        <w:tc>
          <w:tcPr>
            <w:tcW w:w="2231" w:type="dxa"/>
            <w:shd w:val="clear" w:color="auto" w:fill="auto"/>
          </w:tcPr>
          <w:p w14:paraId="3A9B7B65" w14:textId="77777777" w:rsidR="009E6C5A" w:rsidRPr="001A6590" w:rsidRDefault="009E6C5A" w:rsidP="004B5223">
            <w:pPr>
              <w:pStyle w:val="NoSpacing"/>
              <w:rPr>
                <w:b/>
                <w:i/>
              </w:rPr>
            </w:pPr>
            <w:r w:rsidRPr="001A6590">
              <w:rPr>
                <w:b/>
                <w:i/>
              </w:rPr>
              <w:t>Establish Partnerships</w:t>
            </w:r>
          </w:p>
        </w:tc>
        <w:tc>
          <w:tcPr>
            <w:tcW w:w="1337" w:type="dxa"/>
            <w:shd w:val="clear" w:color="auto" w:fill="auto"/>
          </w:tcPr>
          <w:p w14:paraId="79D9B651" w14:textId="77777777" w:rsidR="009E6C5A" w:rsidRPr="003D7597" w:rsidRDefault="009E6C5A" w:rsidP="004B5223">
            <w:pPr>
              <w:pStyle w:val="NoSpacing"/>
              <w:rPr>
                <w:b/>
                <w:i/>
              </w:rPr>
            </w:pPr>
            <w:r>
              <w:rPr>
                <w:b/>
                <w:i/>
              </w:rPr>
              <w:t>$15,206</w:t>
            </w:r>
          </w:p>
        </w:tc>
        <w:tc>
          <w:tcPr>
            <w:tcW w:w="1180" w:type="dxa"/>
            <w:shd w:val="clear" w:color="auto" w:fill="auto"/>
          </w:tcPr>
          <w:p w14:paraId="30343F75" w14:textId="77777777" w:rsidR="009E6C5A" w:rsidRPr="003D7597" w:rsidRDefault="009E6C5A" w:rsidP="004B5223">
            <w:pPr>
              <w:pStyle w:val="NoSpacing"/>
              <w:rPr>
                <w:b/>
                <w:i/>
              </w:rPr>
            </w:pPr>
            <w:r>
              <w:rPr>
                <w:b/>
                <w:i/>
              </w:rPr>
              <w:t>$20,893</w:t>
            </w:r>
          </w:p>
        </w:tc>
      </w:tr>
      <w:tr w:rsidR="009E6C5A" w:rsidRPr="003D7597" w14:paraId="43189A19" w14:textId="77777777" w:rsidTr="004B5223">
        <w:trPr>
          <w:trHeight w:val="300"/>
        </w:trPr>
        <w:tc>
          <w:tcPr>
            <w:tcW w:w="670" w:type="dxa"/>
            <w:shd w:val="clear" w:color="auto" w:fill="auto"/>
          </w:tcPr>
          <w:p w14:paraId="617AB232" w14:textId="77777777" w:rsidR="009E6C5A" w:rsidRPr="003D7597" w:rsidRDefault="009E6C5A" w:rsidP="004B5223">
            <w:pPr>
              <w:pStyle w:val="NoSpacing"/>
              <w:rPr>
                <w:b/>
                <w:i/>
              </w:rPr>
            </w:pPr>
            <w:r>
              <w:rPr>
                <w:b/>
                <w:i/>
              </w:rPr>
              <w:t>3</w:t>
            </w:r>
          </w:p>
        </w:tc>
        <w:tc>
          <w:tcPr>
            <w:tcW w:w="698" w:type="dxa"/>
          </w:tcPr>
          <w:p w14:paraId="3B1309A5" w14:textId="77777777" w:rsidR="009E6C5A" w:rsidRPr="003D7597" w:rsidRDefault="009E6C5A" w:rsidP="004B5223">
            <w:pPr>
              <w:pStyle w:val="NoSpacing"/>
              <w:rPr>
                <w:b/>
                <w:i/>
              </w:rPr>
            </w:pPr>
            <w:r>
              <w:rPr>
                <w:b/>
                <w:i/>
              </w:rPr>
              <w:t>2</w:t>
            </w:r>
          </w:p>
        </w:tc>
        <w:tc>
          <w:tcPr>
            <w:tcW w:w="4090" w:type="dxa"/>
            <w:shd w:val="clear" w:color="auto" w:fill="auto"/>
          </w:tcPr>
          <w:p w14:paraId="6465E4D8" w14:textId="77777777" w:rsidR="009E6C5A" w:rsidRPr="001A6590" w:rsidRDefault="009E6C5A" w:rsidP="004B5223">
            <w:pPr>
              <w:pStyle w:val="NoSpacing"/>
              <w:rPr>
                <w:b/>
                <w:i/>
              </w:rPr>
            </w:pPr>
            <w:r w:rsidRPr="001A6590">
              <w:rPr>
                <w:b/>
                <w:i/>
              </w:rPr>
              <w:t>Collect operational data from multiple pipeline assets to understand normal behavior and reduce false positives in leak detection. Establishing a comprehensive dataset of normal behavior is essential for accurate leak detection.</w:t>
            </w:r>
          </w:p>
        </w:tc>
        <w:tc>
          <w:tcPr>
            <w:tcW w:w="2231" w:type="dxa"/>
            <w:shd w:val="clear" w:color="auto" w:fill="auto"/>
          </w:tcPr>
          <w:p w14:paraId="34090D82" w14:textId="77777777" w:rsidR="009E6C5A" w:rsidRPr="001A6590" w:rsidRDefault="009E6C5A" w:rsidP="004B5223">
            <w:pPr>
              <w:rPr>
                <w:b/>
                <w:i/>
              </w:rPr>
            </w:pPr>
            <w:r w:rsidRPr="001A6590">
              <w:rPr>
                <w:b/>
                <w:i/>
              </w:rPr>
              <w:t>Data Collection Under Normal Operating Conditions</w:t>
            </w:r>
          </w:p>
          <w:p w14:paraId="5A58024D" w14:textId="77777777" w:rsidR="009E6C5A" w:rsidRPr="001A6590" w:rsidRDefault="009E6C5A" w:rsidP="004B5223">
            <w:pPr>
              <w:pStyle w:val="NoSpacing"/>
              <w:rPr>
                <w:b/>
                <w:i/>
              </w:rPr>
            </w:pPr>
          </w:p>
        </w:tc>
        <w:tc>
          <w:tcPr>
            <w:tcW w:w="1337" w:type="dxa"/>
            <w:shd w:val="clear" w:color="auto" w:fill="auto"/>
          </w:tcPr>
          <w:p w14:paraId="7D5D2826" w14:textId="77777777" w:rsidR="009E6C5A" w:rsidRPr="003D7597" w:rsidRDefault="009E6C5A" w:rsidP="004B5223">
            <w:pPr>
              <w:pStyle w:val="NoSpacing"/>
              <w:rPr>
                <w:b/>
                <w:i/>
              </w:rPr>
            </w:pPr>
            <w:r>
              <w:rPr>
                <w:b/>
                <w:i/>
              </w:rPr>
              <w:t>$9, 358</w:t>
            </w:r>
          </w:p>
        </w:tc>
        <w:tc>
          <w:tcPr>
            <w:tcW w:w="1180" w:type="dxa"/>
            <w:shd w:val="clear" w:color="auto" w:fill="auto"/>
          </w:tcPr>
          <w:p w14:paraId="79DA3462" w14:textId="77777777" w:rsidR="009E6C5A" w:rsidRPr="003D7597" w:rsidRDefault="009E6C5A" w:rsidP="004B5223">
            <w:pPr>
              <w:pStyle w:val="NoSpacing"/>
              <w:rPr>
                <w:b/>
                <w:i/>
              </w:rPr>
            </w:pPr>
            <w:r>
              <w:rPr>
                <w:b/>
                <w:i/>
              </w:rPr>
              <w:t>$116,552</w:t>
            </w:r>
          </w:p>
        </w:tc>
      </w:tr>
      <w:tr w:rsidR="009E6C5A" w14:paraId="7B5E9CEB" w14:textId="77777777" w:rsidTr="004B5223">
        <w:trPr>
          <w:trHeight w:val="300"/>
        </w:trPr>
        <w:tc>
          <w:tcPr>
            <w:tcW w:w="670" w:type="dxa"/>
            <w:shd w:val="clear" w:color="auto" w:fill="auto"/>
          </w:tcPr>
          <w:p w14:paraId="21DC8CB9" w14:textId="77777777" w:rsidR="009E6C5A" w:rsidRDefault="009E6C5A" w:rsidP="004B5223">
            <w:pPr>
              <w:pStyle w:val="NoSpacing"/>
              <w:rPr>
                <w:b/>
                <w:i/>
              </w:rPr>
            </w:pPr>
            <w:r>
              <w:rPr>
                <w:b/>
                <w:i/>
              </w:rPr>
              <w:t>4</w:t>
            </w:r>
          </w:p>
        </w:tc>
        <w:tc>
          <w:tcPr>
            <w:tcW w:w="698" w:type="dxa"/>
          </w:tcPr>
          <w:p w14:paraId="250F4E4E" w14:textId="77777777" w:rsidR="009E6C5A" w:rsidRDefault="009E6C5A" w:rsidP="004B5223">
            <w:pPr>
              <w:pStyle w:val="NoSpacing"/>
              <w:rPr>
                <w:b/>
                <w:i/>
              </w:rPr>
            </w:pPr>
            <w:r>
              <w:rPr>
                <w:b/>
                <w:i/>
              </w:rPr>
              <w:t>5</w:t>
            </w:r>
          </w:p>
        </w:tc>
        <w:tc>
          <w:tcPr>
            <w:tcW w:w="4090" w:type="dxa"/>
            <w:shd w:val="clear" w:color="auto" w:fill="auto"/>
          </w:tcPr>
          <w:p w14:paraId="573BC98C" w14:textId="77777777" w:rsidR="009E6C5A" w:rsidRPr="001A6590" w:rsidRDefault="009E6C5A" w:rsidP="004B5223">
            <w:pPr>
              <w:rPr>
                <w:b/>
                <w:i/>
              </w:rPr>
            </w:pPr>
            <w:r w:rsidRPr="001A6590">
              <w:rPr>
                <w:b/>
                <w:i/>
              </w:rPr>
              <w:t>Conduct a thorough review of literature on hydraulics of compressible fluids, existing leak detection solutions, ML/AI techniques for time series and anomaly detection, physics-informed solutions, and relevant signal/frequency domain analysis. This review guides experimental design.</w:t>
            </w:r>
          </w:p>
        </w:tc>
        <w:tc>
          <w:tcPr>
            <w:tcW w:w="2231" w:type="dxa"/>
            <w:shd w:val="clear" w:color="auto" w:fill="auto"/>
          </w:tcPr>
          <w:p w14:paraId="2BAFD714" w14:textId="77777777" w:rsidR="009E6C5A" w:rsidRPr="001A6590" w:rsidRDefault="009E6C5A" w:rsidP="004B5223">
            <w:pPr>
              <w:rPr>
                <w:b/>
                <w:i/>
              </w:rPr>
            </w:pPr>
            <w:r w:rsidRPr="001A6590">
              <w:rPr>
                <w:b/>
                <w:i/>
              </w:rPr>
              <w:t>Technical and Literature Review</w:t>
            </w:r>
          </w:p>
          <w:p w14:paraId="13DADE3B" w14:textId="77777777" w:rsidR="009E6C5A" w:rsidRPr="001A6590" w:rsidRDefault="009E6C5A" w:rsidP="004B5223">
            <w:pPr>
              <w:rPr>
                <w:b/>
                <w:i/>
              </w:rPr>
            </w:pPr>
          </w:p>
        </w:tc>
        <w:tc>
          <w:tcPr>
            <w:tcW w:w="1337" w:type="dxa"/>
            <w:shd w:val="clear" w:color="auto" w:fill="auto"/>
          </w:tcPr>
          <w:p w14:paraId="4E8C273E" w14:textId="77777777" w:rsidR="009E6C5A" w:rsidRDefault="009E6C5A" w:rsidP="004B5223">
            <w:pPr>
              <w:pStyle w:val="NoSpacing"/>
              <w:rPr>
                <w:b/>
                <w:i/>
              </w:rPr>
            </w:pPr>
            <w:r>
              <w:rPr>
                <w:b/>
                <w:i/>
              </w:rPr>
              <w:t>$31,318</w:t>
            </w:r>
          </w:p>
        </w:tc>
        <w:tc>
          <w:tcPr>
            <w:tcW w:w="1180" w:type="dxa"/>
            <w:shd w:val="clear" w:color="auto" w:fill="auto"/>
          </w:tcPr>
          <w:p w14:paraId="71CA5CFF" w14:textId="77777777" w:rsidR="009E6C5A" w:rsidRDefault="009E6C5A" w:rsidP="004B5223">
            <w:pPr>
              <w:pStyle w:val="NoSpacing"/>
              <w:rPr>
                <w:b/>
                <w:i/>
              </w:rPr>
            </w:pPr>
            <w:r>
              <w:rPr>
                <w:b/>
                <w:i/>
              </w:rPr>
              <w:t>$19,452</w:t>
            </w:r>
          </w:p>
        </w:tc>
      </w:tr>
      <w:tr w:rsidR="009E6C5A" w14:paraId="09317354" w14:textId="77777777" w:rsidTr="004B5223">
        <w:trPr>
          <w:trHeight w:val="300"/>
        </w:trPr>
        <w:tc>
          <w:tcPr>
            <w:tcW w:w="670" w:type="dxa"/>
            <w:shd w:val="clear" w:color="auto" w:fill="auto"/>
          </w:tcPr>
          <w:p w14:paraId="77B6CDFE" w14:textId="77777777" w:rsidR="009E6C5A" w:rsidRDefault="009E6C5A" w:rsidP="004B5223">
            <w:pPr>
              <w:pStyle w:val="NoSpacing"/>
              <w:rPr>
                <w:b/>
                <w:i/>
              </w:rPr>
            </w:pPr>
            <w:r>
              <w:rPr>
                <w:b/>
                <w:i/>
              </w:rPr>
              <w:t>5</w:t>
            </w:r>
          </w:p>
        </w:tc>
        <w:tc>
          <w:tcPr>
            <w:tcW w:w="698" w:type="dxa"/>
          </w:tcPr>
          <w:p w14:paraId="3B097565" w14:textId="77777777" w:rsidR="009E6C5A" w:rsidRDefault="009E6C5A" w:rsidP="004B5223">
            <w:pPr>
              <w:pStyle w:val="NoSpacing"/>
              <w:rPr>
                <w:b/>
                <w:i/>
              </w:rPr>
            </w:pPr>
            <w:r>
              <w:rPr>
                <w:b/>
                <w:i/>
              </w:rPr>
              <w:t>12</w:t>
            </w:r>
          </w:p>
        </w:tc>
        <w:tc>
          <w:tcPr>
            <w:tcW w:w="4090" w:type="dxa"/>
            <w:shd w:val="clear" w:color="auto" w:fill="auto"/>
          </w:tcPr>
          <w:p w14:paraId="74E981B9" w14:textId="77777777" w:rsidR="009E6C5A" w:rsidRPr="001A6590" w:rsidRDefault="009E6C5A" w:rsidP="004B5223">
            <w:pPr>
              <w:rPr>
                <w:b/>
                <w:i/>
              </w:rPr>
            </w:pPr>
            <w:r w:rsidRPr="001A6590">
              <w:rPr>
                <w:b/>
                <w:i/>
              </w:rPr>
              <w:t xml:space="preserve">2nd Quarterly Status Report </w:t>
            </w:r>
          </w:p>
        </w:tc>
        <w:tc>
          <w:tcPr>
            <w:tcW w:w="2231" w:type="dxa"/>
            <w:shd w:val="clear" w:color="auto" w:fill="auto"/>
          </w:tcPr>
          <w:p w14:paraId="3D2294D6" w14:textId="77777777" w:rsidR="009E6C5A" w:rsidRPr="001A6590" w:rsidRDefault="009E6C5A" w:rsidP="004B5223">
            <w:pPr>
              <w:rPr>
                <w:b/>
                <w:i/>
              </w:rPr>
            </w:pPr>
            <w:r w:rsidRPr="001A6590">
              <w:rPr>
                <w:b/>
                <w:i/>
              </w:rPr>
              <w:t>Submit 2nd quarterly report</w:t>
            </w:r>
          </w:p>
        </w:tc>
        <w:tc>
          <w:tcPr>
            <w:tcW w:w="1337" w:type="dxa"/>
            <w:shd w:val="clear" w:color="auto" w:fill="auto"/>
          </w:tcPr>
          <w:p w14:paraId="72B4AEAE" w14:textId="77777777" w:rsidR="009E6C5A" w:rsidRDefault="009E6C5A" w:rsidP="004B5223">
            <w:pPr>
              <w:pStyle w:val="NoSpacing"/>
              <w:rPr>
                <w:b/>
                <w:i/>
              </w:rPr>
            </w:pPr>
            <w:r>
              <w:rPr>
                <w:b/>
                <w:i/>
              </w:rPr>
              <w:t>$2,210</w:t>
            </w:r>
          </w:p>
        </w:tc>
        <w:tc>
          <w:tcPr>
            <w:tcW w:w="1180" w:type="dxa"/>
            <w:shd w:val="clear" w:color="auto" w:fill="auto"/>
          </w:tcPr>
          <w:p w14:paraId="189E3A5B" w14:textId="77777777" w:rsidR="009E6C5A" w:rsidRDefault="009E6C5A" w:rsidP="004B5223">
            <w:pPr>
              <w:pStyle w:val="NoSpacing"/>
              <w:rPr>
                <w:b/>
                <w:i/>
              </w:rPr>
            </w:pPr>
            <w:r>
              <w:rPr>
                <w:b/>
                <w:i/>
              </w:rPr>
              <w:t>$1,633</w:t>
            </w:r>
          </w:p>
        </w:tc>
      </w:tr>
      <w:tr w:rsidR="009E6C5A" w14:paraId="48970C50" w14:textId="77777777" w:rsidTr="004B5223">
        <w:trPr>
          <w:trHeight w:val="300"/>
        </w:trPr>
        <w:tc>
          <w:tcPr>
            <w:tcW w:w="670" w:type="dxa"/>
            <w:shd w:val="clear" w:color="auto" w:fill="auto"/>
          </w:tcPr>
          <w:p w14:paraId="49220ED1" w14:textId="77777777" w:rsidR="009E6C5A" w:rsidRDefault="009E6C5A" w:rsidP="004B5223">
            <w:pPr>
              <w:pStyle w:val="NoSpacing"/>
              <w:rPr>
                <w:b/>
                <w:i/>
              </w:rPr>
            </w:pPr>
            <w:r>
              <w:rPr>
                <w:b/>
                <w:i/>
              </w:rPr>
              <w:t>7</w:t>
            </w:r>
          </w:p>
        </w:tc>
        <w:tc>
          <w:tcPr>
            <w:tcW w:w="698" w:type="dxa"/>
          </w:tcPr>
          <w:p w14:paraId="3A9F55B2" w14:textId="77777777" w:rsidR="009E6C5A" w:rsidRDefault="009E6C5A" w:rsidP="004B5223">
            <w:pPr>
              <w:pStyle w:val="NoSpacing"/>
              <w:rPr>
                <w:b/>
                <w:i/>
              </w:rPr>
            </w:pPr>
            <w:r>
              <w:rPr>
                <w:b/>
                <w:i/>
              </w:rPr>
              <w:t>6</w:t>
            </w:r>
          </w:p>
        </w:tc>
        <w:tc>
          <w:tcPr>
            <w:tcW w:w="4090" w:type="dxa"/>
            <w:shd w:val="clear" w:color="auto" w:fill="auto"/>
          </w:tcPr>
          <w:p w14:paraId="0DA76B7A" w14:textId="77777777" w:rsidR="009E6C5A" w:rsidRPr="001A6590" w:rsidRDefault="009E6C5A" w:rsidP="004B5223">
            <w:pPr>
              <w:rPr>
                <w:b/>
                <w:i/>
              </w:rPr>
            </w:pPr>
            <w:r w:rsidRPr="001A6590">
              <w:rPr>
                <w:b/>
                <w:i/>
              </w:rPr>
              <w:t>Define and plan a series of experiments to differentiate between normal and leak behaviors using collected data. Well-designed experiments help identify promising approaches for leak detection, setting the stage for proof-of-concept development.</w:t>
            </w:r>
          </w:p>
        </w:tc>
        <w:tc>
          <w:tcPr>
            <w:tcW w:w="2231" w:type="dxa"/>
            <w:shd w:val="clear" w:color="auto" w:fill="auto"/>
          </w:tcPr>
          <w:p w14:paraId="6AD2EAAE" w14:textId="77777777" w:rsidR="009E6C5A" w:rsidRPr="001A6590" w:rsidRDefault="009E6C5A" w:rsidP="004B5223">
            <w:pPr>
              <w:rPr>
                <w:b/>
                <w:i/>
              </w:rPr>
            </w:pPr>
            <w:r w:rsidRPr="001A6590">
              <w:rPr>
                <w:b/>
                <w:i/>
              </w:rPr>
              <w:t>Design Technical Experiments</w:t>
            </w:r>
          </w:p>
        </w:tc>
        <w:tc>
          <w:tcPr>
            <w:tcW w:w="1337" w:type="dxa"/>
            <w:shd w:val="clear" w:color="auto" w:fill="auto"/>
          </w:tcPr>
          <w:p w14:paraId="3881FA5D" w14:textId="77777777" w:rsidR="009E6C5A" w:rsidRDefault="009E6C5A" w:rsidP="004B5223">
            <w:pPr>
              <w:pStyle w:val="NoSpacing"/>
              <w:rPr>
                <w:b/>
                <w:i/>
              </w:rPr>
            </w:pPr>
            <w:r>
              <w:rPr>
                <w:b/>
                <w:i/>
              </w:rPr>
              <w:t>$26,318</w:t>
            </w:r>
          </w:p>
        </w:tc>
        <w:tc>
          <w:tcPr>
            <w:tcW w:w="1180" w:type="dxa"/>
            <w:shd w:val="clear" w:color="auto" w:fill="auto"/>
          </w:tcPr>
          <w:p w14:paraId="6D6EA404" w14:textId="77777777" w:rsidR="009E6C5A" w:rsidRDefault="009E6C5A" w:rsidP="004B5223">
            <w:pPr>
              <w:pStyle w:val="NoSpacing"/>
              <w:rPr>
                <w:b/>
                <w:i/>
              </w:rPr>
            </w:pPr>
            <w:r>
              <w:rPr>
                <w:b/>
                <w:i/>
              </w:rPr>
              <w:t>$19,452</w:t>
            </w:r>
          </w:p>
        </w:tc>
      </w:tr>
    </w:tbl>
    <w:p w14:paraId="36821080" w14:textId="77777777" w:rsidR="003066BF" w:rsidRDefault="003066BF" w:rsidP="003066BF">
      <w:pPr>
        <w:pStyle w:val="NoSpacing"/>
        <w:rPr>
          <w:i/>
        </w:rPr>
      </w:pPr>
    </w:p>
    <w:p w14:paraId="36BFD9FD" w14:textId="77777777" w:rsidR="003066BF" w:rsidRPr="00A7663D" w:rsidRDefault="003066BF" w:rsidP="003066BF">
      <w:pPr>
        <w:pStyle w:val="NoSpacing"/>
        <w:rPr>
          <w:b/>
        </w:rPr>
      </w:pPr>
      <w:r>
        <w:rPr>
          <w:b/>
        </w:rPr>
        <w:t>2: Items Not-</w:t>
      </w:r>
      <w:r w:rsidRPr="00A7663D">
        <w:rPr>
          <w:b/>
        </w:rPr>
        <w:t>Completed During this Quarterly Period:</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4171"/>
        <w:gridCol w:w="2061"/>
        <w:gridCol w:w="1372"/>
        <w:gridCol w:w="1234"/>
      </w:tblGrid>
      <w:tr w:rsidR="00A91036" w:rsidRPr="003D7597" w14:paraId="4B2FB6C6" w14:textId="77777777" w:rsidTr="004B5223">
        <w:trPr>
          <w:trHeight w:val="279"/>
        </w:trPr>
        <w:tc>
          <w:tcPr>
            <w:tcW w:w="670" w:type="dxa"/>
            <w:shd w:val="clear" w:color="auto" w:fill="auto"/>
          </w:tcPr>
          <w:p w14:paraId="137B5D71" w14:textId="77777777" w:rsidR="00A91036" w:rsidRPr="003D7597" w:rsidRDefault="00A91036" w:rsidP="004B5223">
            <w:pPr>
              <w:pStyle w:val="NoSpacing"/>
              <w:rPr>
                <w:b/>
                <w:i/>
              </w:rPr>
            </w:pPr>
            <w:r w:rsidRPr="003D7597">
              <w:rPr>
                <w:b/>
                <w:i/>
              </w:rPr>
              <w:t>Item #</w:t>
            </w:r>
          </w:p>
        </w:tc>
        <w:tc>
          <w:tcPr>
            <w:tcW w:w="698" w:type="dxa"/>
          </w:tcPr>
          <w:p w14:paraId="7EBC6215" w14:textId="77777777" w:rsidR="00A91036" w:rsidRPr="003D7597" w:rsidRDefault="00A91036" w:rsidP="004B5223">
            <w:pPr>
              <w:pStyle w:val="NoSpacing"/>
              <w:rPr>
                <w:b/>
                <w:i/>
              </w:rPr>
            </w:pPr>
            <w:r>
              <w:rPr>
                <w:b/>
                <w:i/>
              </w:rPr>
              <w:t>Task #</w:t>
            </w:r>
          </w:p>
        </w:tc>
        <w:tc>
          <w:tcPr>
            <w:tcW w:w="4171" w:type="dxa"/>
            <w:shd w:val="clear" w:color="auto" w:fill="auto"/>
          </w:tcPr>
          <w:p w14:paraId="1C0BBC03" w14:textId="77777777" w:rsidR="00A91036" w:rsidRPr="003D7597" w:rsidRDefault="00A91036" w:rsidP="004B5223">
            <w:pPr>
              <w:pStyle w:val="NoSpacing"/>
              <w:rPr>
                <w:b/>
                <w:i/>
              </w:rPr>
            </w:pPr>
            <w:r w:rsidRPr="003D7597">
              <w:rPr>
                <w:b/>
                <w:i/>
              </w:rPr>
              <w:t>Activity/Deliverable</w:t>
            </w:r>
          </w:p>
        </w:tc>
        <w:tc>
          <w:tcPr>
            <w:tcW w:w="2061" w:type="dxa"/>
            <w:shd w:val="clear" w:color="auto" w:fill="auto"/>
          </w:tcPr>
          <w:p w14:paraId="093886A6" w14:textId="77777777" w:rsidR="00A91036" w:rsidRPr="003D7597" w:rsidRDefault="00A91036" w:rsidP="004B5223">
            <w:pPr>
              <w:pStyle w:val="NoSpacing"/>
              <w:rPr>
                <w:b/>
                <w:i/>
              </w:rPr>
            </w:pPr>
            <w:r w:rsidRPr="003D7597">
              <w:rPr>
                <w:b/>
                <w:i/>
              </w:rPr>
              <w:t>Title</w:t>
            </w:r>
          </w:p>
        </w:tc>
        <w:tc>
          <w:tcPr>
            <w:tcW w:w="1372" w:type="dxa"/>
            <w:shd w:val="clear" w:color="auto" w:fill="auto"/>
          </w:tcPr>
          <w:p w14:paraId="589253B0" w14:textId="77777777" w:rsidR="00A91036" w:rsidRPr="003D7597" w:rsidRDefault="00A91036" w:rsidP="004B5223">
            <w:pPr>
              <w:pStyle w:val="NoSpacing"/>
              <w:rPr>
                <w:b/>
                <w:i/>
              </w:rPr>
            </w:pPr>
            <w:r w:rsidRPr="003D7597">
              <w:rPr>
                <w:b/>
                <w:i/>
              </w:rPr>
              <w:t>Federal Cost</w:t>
            </w:r>
          </w:p>
        </w:tc>
        <w:tc>
          <w:tcPr>
            <w:tcW w:w="1234" w:type="dxa"/>
            <w:shd w:val="clear" w:color="auto" w:fill="auto"/>
          </w:tcPr>
          <w:p w14:paraId="00A1686C" w14:textId="77777777" w:rsidR="00A91036" w:rsidRPr="003D7597" w:rsidRDefault="00A91036" w:rsidP="004B5223">
            <w:pPr>
              <w:pStyle w:val="NoSpacing"/>
              <w:rPr>
                <w:b/>
                <w:i/>
              </w:rPr>
            </w:pPr>
            <w:r w:rsidRPr="003D7597">
              <w:rPr>
                <w:b/>
                <w:i/>
              </w:rPr>
              <w:t>Cost Share</w:t>
            </w:r>
          </w:p>
        </w:tc>
      </w:tr>
      <w:tr w:rsidR="00A91036" w:rsidRPr="003D7597" w14:paraId="2E1D04AA" w14:textId="77777777" w:rsidTr="004B5223">
        <w:trPr>
          <w:trHeight w:val="269"/>
        </w:trPr>
        <w:tc>
          <w:tcPr>
            <w:tcW w:w="670" w:type="dxa"/>
            <w:shd w:val="clear" w:color="auto" w:fill="auto"/>
          </w:tcPr>
          <w:p w14:paraId="0083A4F9" w14:textId="77777777" w:rsidR="00A91036" w:rsidRPr="003D7597" w:rsidRDefault="00A91036" w:rsidP="004B5223">
            <w:pPr>
              <w:pStyle w:val="NoSpacing"/>
              <w:rPr>
                <w:b/>
                <w:i/>
              </w:rPr>
            </w:pPr>
          </w:p>
        </w:tc>
        <w:tc>
          <w:tcPr>
            <w:tcW w:w="698" w:type="dxa"/>
          </w:tcPr>
          <w:p w14:paraId="555C97A2" w14:textId="77777777" w:rsidR="00A91036" w:rsidRPr="003D7597" w:rsidRDefault="00A91036" w:rsidP="004B5223">
            <w:pPr>
              <w:pStyle w:val="NoSpacing"/>
              <w:rPr>
                <w:b/>
                <w:i/>
              </w:rPr>
            </w:pPr>
          </w:p>
        </w:tc>
        <w:tc>
          <w:tcPr>
            <w:tcW w:w="4171" w:type="dxa"/>
            <w:shd w:val="clear" w:color="auto" w:fill="auto"/>
          </w:tcPr>
          <w:p w14:paraId="5C31FE03" w14:textId="77777777" w:rsidR="00A91036" w:rsidRPr="003D7597" w:rsidRDefault="00A91036" w:rsidP="004B5223">
            <w:pPr>
              <w:pStyle w:val="NoSpacing"/>
              <w:rPr>
                <w:b/>
                <w:i/>
              </w:rPr>
            </w:pPr>
          </w:p>
        </w:tc>
        <w:tc>
          <w:tcPr>
            <w:tcW w:w="2061" w:type="dxa"/>
            <w:shd w:val="clear" w:color="auto" w:fill="auto"/>
          </w:tcPr>
          <w:p w14:paraId="04EAAE6E" w14:textId="77777777" w:rsidR="00A91036" w:rsidRPr="003D7597" w:rsidRDefault="00A91036" w:rsidP="004B5223">
            <w:pPr>
              <w:pStyle w:val="NoSpacing"/>
              <w:rPr>
                <w:b/>
                <w:i/>
              </w:rPr>
            </w:pPr>
          </w:p>
        </w:tc>
        <w:tc>
          <w:tcPr>
            <w:tcW w:w="1372" w:type="dxa"/>
            <w:shd w:val="clear" w:color="auto" w:fill="auto"/>
          </w:tcPr>
          <w:p w14:paraId="3A3276AC" w14:textId="77777777" w:rsidR="00A91036" w:rsidRPr="003D7597" w:rsidRDefault="00A91036" w:rsidP="004B5223">
            <w:pPr>
              <w:pStyle w:val="NoSpacing"/>
              <w:rPr>
                <w:b/>
                <w:i/>
              </w:rPr>
            </w:pPr>
          </w:p>
        </w:tc>
        <w:tc>
          <w:tcPr>
            <w:tcW w:w="1234" w:type="dxa"/>
            <w:shd w:val="clear" w:color="auto" w:fill="auto"/>
          </w:tcPr>
          <w:p w14:paraId="3CFF6D9D" w14:textId="77777777" w:rsidR="00A91036" w:rsidRPr="003D7597" w:rsidRDefault="00A91036" w:rsidP="004B5223">
            <w:pPr>
              <w:pStyle w:val="NoSpacing"/>
              <w:rPr>
                <w:b/>
                <w:i/>
              </w:rPr>
            </w:pPr>
          </w:p>
        </w:tc>
      </w:tr>
      <w:tr w:rsidR="00A91036" w:rsidRPr="003D7597" w14:paraId="1C3E11B6" w14:textId="77777777" w:rsidTr="004B5223">
        <w:trPr>
          <w:trHeight w:val="279"/>
        </w:trPr>
        <w:tc>
          <w:tcPr>
            <w:tcW w:w="670" w:type="dxa"/>
            <w:shd w:val="clear" w:color="auto" w:fill="auto"/>
          </w:tcPr>
          <w:p w14:paraId="2A48C56D" w14:textId="77777777" w:rsidR="00A91036" w:rsidRPr="003D7597" w:rsidRDefault="00A91036" w:rsidP="004B5223">
            <w:pPr>
              <w:pStyle w:val="NoSpacing"/>
              <w:rPr>
                <w:b/>
                <w:i/>
              </w:rPr>
            </w:pPr>
          </w:p>
        </w:tc>
        <w:tc>
          <w:tcPr>
            <w:tcW w:w="698" w:type="dxa"/>
          </w:tcPr>
          <w:p w14:paraId="44CAAE01" w14:textId="77777777" w:rsidR="00A91036" w:rsidRPr="003D7597" w:rsidRDefault="00A91036" w:rsidP="004B5223">
            <w:pPr>
              <w:pStyle w:val="NoSpacing"/>
              <w:rPr>
                <w:b/>
                <w:i/>
              </w:rPr>
            </w:pPr>
          </w:p>
        </w:tc>
        <w:tc>
          <w:tcPr>
            <w:tcW w:w="4171" w:type="dxa"/>
            <w:shd w:val="clear" w:color="auto" w:fill="auto"/>
          </w:tcPr>
          <w:p w14:paraId="2E823A2D" w14:textId="77777777" w:rsidR="00A91036" w:rsidRPr="003D7597" w:rsidRDefault="00A91036" w:rsidP="004B5223">
            <w:pPr>
              <w:pStyle w:val="NoSpacing"/>
              <w:rPr>
                <w:b/>
                <w:i/>
              </w:rPr>
            </w:pPr>
          </w:p>
        </w:tc>
        <w:tc>
          <w:tcPr>
            <w:tcW w:w="2061" w:type="dxa"/>
            <w:shd w:val="clear" w:color="auto" w:fill="auto"/>
          </w:tcPr>
          <w:p w14:paraId="54FE93B5" w14:textId="77777777" w:rsidR="00A91036" w:rsidRPr="003D7597" w:rsidRDefault="00A91036" w:rsidP="004B5223">
            <w:pPr>
              <w:pStyle w:val="NoSpacing"/>
              <w:rPr>
                <w:b/>
                <w:i/>
              </w:rPr>
            </w:pPr>
          </w:p>
        </w:tc>
        <w:tc>
          <w:tcPr>
            <w:tcW w:w="1372" w:type="dxa"/>
            <w:shd w:val="clear" w:color="auto" w:fill="auto"/>
          </w:tcPr>
          <w:p w14:paraId="45756BE8" w14:textId="77777777" w:rsidR="00A91036" w:rsidRPr="003D7597" w:rsidRDefault="00A91036" w:rsidP="004B5223">
            <w:pPr>
              <w:pStyle w:val="NoSpacing"/>
              <w:rPr>
                <w:b/>
                <w:i/>
              </w:rPr>
            </w:pPr>
          </w:p>
        </w:tc>
        <w:tc>
          <w:tcPr>
            <w:tcW w:w="1234" w:type="dxa"/>
            <w:shd w:val="clear" w:color="auto" w:fill="auto"/>
          </w:tcPr>
          <w:p w14:paraId="44B9855D" w14:textId="77777777" w:rsidR="00A91036" w:rsidRPr="003D7597" w:rsidRDefault="00A91036" w:rsidP="004B5223">
            <w:pPr>
              <w:pStyle w:val="NoSpacing"/>
              <w:rPr>
                <w:b/>
                <w:i/>
              </w:rPr>
            </w:pPr>
          </w:p>
        </w:tc>
      </w:tr>
    </w:tbl>
    <w:p w14:paraId="0B23BDC8" w14:textId="77777777" w:rsidR="003066BF" w:rsidRDefault="003066BF" w:rsidP="003066BF">
      <w:pPr>
        <w:pStyle w:val="NoSpacing"/>
        <w:rPr>
          <w:i/>
        </w:rPr>
      </w:pPr>
    </w:p>
    <w:p w14:paraId="753451D5" w14:textId="77777777" w:rsidR="003066BF" w:rsidRPr="00A7663D" w:rsidRDefault="003066BF" w:rsidP="003066BF">
      <w:pPr>
        <w:pStyle w:val="NoSpacing"/>
        <w:rPr>
          <w:b/>
        </w:rPr>
      </w:pPr>
      <w:r>
        <w:rPr>
          <w:b/>
        </w:rPr>
        <w:t xml:space="preserve">3: Project Financial Tracking </w:t>
      </w:r>
      <w:r w:rsidRPr="00A7663D">
        <w:rPr>
          <w:b/>
        </w:rPr>
        <w:t>During this Quarterly Period:</w:t>
      </w:r>
    </w:p>
    <w:p w14:paraId="39094B88" w14:textId="4A8CB789" w:rsidR="008E0963" w:rsidRPr="006131B8" w:rsidRDefault="00495A82" w:rsidP="003066BF">
      <w:pPr>
        <w:pStyle w:val="NoSpacing"/>
        <w:rPr>
          <w:sz w:val="22"/>
        </w:rPr>
      </w:pPr>
      <w:r>
        <w:rPr>
          <w:b/>
        </w:rPr>
        <w:pict w14:anchorId="30265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3.25pt;height:383.1pt;mso-left-percent:-10001;mso-top-percent:-10001;mso-position-horizontal:absolute;mso-position-horizontal-relative:char;mso-position-vertical:absolute;mso-position-vertical-relative:line;mso-left-percent:-10001;mso-top-percent:-10001">
            <v:imagedata r:id="rId11" o:title=""/>
          </v:shape>
        </w:pict>
      </w:r>
    </w:p>
    <w:p w14:paraId="34A36C29" w14:textId="26B02586" w:rsidR="003066BF" w:rsidRPr="0054195E" w:rsidRDefault="003066BF" w:rsidP="003066BF">
      <w:pPr>
        <w:pStyle w:val="NoSpacing"/>
      </w:pPr>
    </w:p>
    <w:p w14:paraId="7C792CDE" w14:textId="77777777" w:rsidR="003066BF" w:rsidRPr="0054195E" w:rsidRDefault="003066BF" w:rsidP="003066BF">
      <w:pPr>
        <w:pStyle w:val="NoSpacing"/>
      </w:pPr>
    </w:p>
    <w:p w14:paraId="4FBB47E5" w14:textId="77777777" w:rsidR="003066BF" w:rsidRPr="0054195E" w:rsidRDefault="003066BF" w:rsidP="003066BF">
      <w:pPr>
        <w:pStyle w:val="NoSpacing"/>
      </w:pPr>
    </w:p>
    <w:p w14:paraId="5EC1F0C9" w14:textId="77777777" w:rsidR="003066BF" w:rsidRDefault="003066BF" w:rsidP="003066BF">
      <w:pPr>
        <w:pStyle w:val="NoSpacing"/>
        <w:rPr>
          <w:b/>
        </w:rPr>
      </w:pPr>
      <w:r>
        <w:rPr>
          <w:b/>
        </w:rPr>
        <w:t xml:space="preserve">4:  Project </w:t>
      </w:r>
      <w:r w:rsidRPr="001127DB">
        <w:rPr>
          <w:b/>
        </w:rPr>
        <w:t>Technical Status –</w:t>
      </w:r>
    </w:p>
    <w:p w14:paraId="08CFA06E" w14:textId="77777777" w:rsidR="00A25A94" w:rsidRDefault="00A25A94" w:rsidP="00D3551C">
      <w:pPr>
        <w:pStyle w:val="NoSpacing"/>
        <w:rPr>
          <w:u w:val="single"/>
        </w:rPr>
      </w:pPr>
    </w:p>
    <w:p w14:paraId="3F847AB7" w14:textId="39262E6B" w:rsidR="00D3551C" w:rsidRPr="00D3551C" w:rsidRDefault="00D3551C" w:rsidP="00D3551C">
      <w:pPr>
        <w:pStyle w:val="NoSpacing"/>
        <w:rPr>
          <w:u w:val="single"/>
        </w:rPr>
      </w:pPr>
      <w:r w:rsidRPr="00D3551C">
        <w:rPr>
          <w:u w:val="single"/>
        </w:rPr>
        <w:t>Item #1, Task #1, Establish Partnerships</w:t>
      </w:r>
    </w:p>
    <w:p w14:paraId="58649C5D" w14:textId="77777777" w:rsidR="00D3551C" w:rsidRPr="00D3551C" w:rsidRDefault="00D3551C" w:rsidP="00D3551C">
      <w:pPr>
        <w:pStyle w:val="NoSpacing"/>
      </w:pPr>
      <w:r w:rsidRPr="00D3551C">
        <w:t>During this quarter, we completed the task of securing operator partnerships essential to project execution. This marks a slight deviation from the original plan due to the withdrawal of one of the initially proposed collaborators. In response, we added a new collaborator and executed agreements with both of our current project partners, allowing us to maintain alignment with the overall schedule and objectives.</w:t>
      </w:r>
    </w:p>
    <w:p w14:paraId="26CF8C7B" w14:textId="77777777" w:rsidR="00D3551C" w:rsidRPr="00D3551C" w:rsidRDefault="00D3551C" w:rsidP="00D3551C">
      <w:pPr>
        <w:pStyle w:val="NoSpacing"/>
        <w:numPr>
          <w:ilvl w:val="0"/>
          <w:numId w:val="8"/>
        </w:numPr>
      </w:pPr>
      <w:r w:rsidRPr="00D3551C">
        <w:lastRenderedPageBreak/>
        <w:t>One of the originally proposed operator partners withdrew due to internal restructuring and resource limitations.</w:t>
      </w:r>
    </w:p>
    <w:p w14:paraId="034D055B" w14:textId="77777777" w:rsidR="00D3551C" w:rsidRDefault="00D3551C" w:rsidP="00D3551C">
      <w:pPr>
        <w:pStyle w:val="NoSpacing"/>
        <w:numPr>
          <w:ilvl w:val="0"/>
          <w:numId w:val="8"/>
        </w:numPr>
      </w:pPr>
      <w:r w:rsidRPr="00D3551C">
        <w:t>We finalized one new operator partnership and reaffirmed collaboration with an existing partner, both of which will provide access to pipeline systems and operational data to support the project. These partnerships enable both physical and digital evaluation activities and contribute valuable technical expertise and in-kind resources.</w:t>
      </w:r>
    </w:p>
    <w:p w14:paraId="60B06C82" w14:textId="77777777" w:rsidR="00A25A94" w:rsidRPr="00D3551C" w:rsidRDefault="00A25A94" w:rsidP="00D3551C">
      <w:pPr>
        <w:pStyle w:val="NoSpacing"/>
        <w:numPr>
          <w:ilvl w:val="0"/>
          <w:numId w:val="8"/>
        </w:numPr>
      </w:pPr>
    </w:p>
    <w:p w14:paraId="3CD33027" w14:textId="77777777" w:rsidR="00D3551C" w:rsidRPr="00D3551C" w:rsidRDefault="00D3551C" w:rsidP="00D3551C">
      <w:pPr>
        <w:pStyle w:val="NoSpacing"/>
        <w:rPr>
          <w:u w:val="single"/>
        </w:rPr>
      </w:pPr>
      <w:r w:rsidRPr="00D3551C">
        <w:rPr>
          <w:u w:val="single"/>
        </w:rPr>
        <w:t>Item #3, Task #2, Data Collection Under Normal Operating Conditions</w:t>
      </w:r>
    </w:p>
    <w:p w14:paraId="0CEB1593" w14:textId="77777777" w:rsidR="00D3551C" w:rsidRPr="00D3551C" w:rsidRDefault="00D3551C" w:rsidP="00D3551C">
      <w:pPr>
        <w:pStyle w:val="NoSpacing"/>
      </w:pPr>
      <w:r w:rsidRPr="00D3551C">
        <w:t>Work this quarter also focused on establishing the technical and logistical framework for collecting operational data under normal conditions from partner pipeline systems.</w:t>
      </w:r>
    </w:p>
    <w:p w14:paraId="31A764DF" w14:textId="77777777" w:rsidR="00D3551C" w:rsidRPr="00D3551C" w:rsidRDefault="00D3551C" w:rsidP="00D3551C">
      <w:pPr>
        <w:pStyle w:val="NoSpacing"/>
        <w:numPr>
          <w:ilvl w:val="0"/>
          <w:numId w:val="9"/>
        </w:numPr>
      </w:pPr>
      <w:r w:rsidRPr="00D3551C">
        <w:t>One partner is providing historical sensor data and supporting live data collection from an active pipeline system.</w:t>
      </w:r>
    </w:p>
    <w:p w14:paraId="7DD588E3" w14:textId="77777777" w:rsidR="00D3551C" w:rsidRPr="00D3551C" w:rsidRDefault="00D3551C" w:rsidP="00D3551C">
      <w:pPr>
        <w:pStyle w:val="NoSpacing"/>
        <w:numPr>
          <w:ilvl w:val="0"/>
          <w:numId w:val="9"/>
        </w:numPr>
      </w:pPr>
      <w:r w:rsidRPr="00D3551C">
        <w:t>Another partner is collaborating with the team to facilitate testing on a non-operational pipeline segment where controlled leak simulations will be conducted. Planning includes the use of inert gas as a proxy for hazardous product flow. Sensor configurations, pipeline parameters, and data logistics are actively being developed and finalized.</w:t>
      </w:r>
    </w:p>
    <w:p w14:paraId="04B7DC4B" w14:textId="77777777" w:rsidR="00A25A94" w:rsidRDefault="00A25A94" w:rsidP="00D3551C">
      <w:pPr>
        <w:pStyle w:val="NoSpacing"/>
      </w:pPr>
    </w:p>
    <w:p w14:paraId="03F1706B" w14:textId="6B3FAC0A" w:rsidR="00D3551C" w:rsidRPr="00D3551C" w:rsidRDefault="00D3551C" w:rsidP="00D3551C">
      <w:pPr>
        <w:pStyle w:val="NoSpacing"/>
        <w:rPr>
          <w:u w:val="single"/>
        </w:rPr>
      </w:pPr>
      <w:r w:rsidRPr="00D3551C">
        <w:rPr>
          <w:u w:val="single"/>
        </w:rPr>
        <w:t>Item #4, Task #5, Technical and Literature Review</w:t>
      </w:r>
    </w:p>
    <w:p w14:paraId="60726766" w14:textId="77777777" w:rsidR="00D3551C" w:rsidRPr="00D3551C" w:rsidRDefault="00D3551C" w:rsidP="00D3551C">
      <w:pPr>
        <w:pStyle w:val="NoSpacing"/>
      </w:pPr>
      <w:r w:rsidRPr="00D3551C">
        <w:t>This task has been completed. The team conducted a comprehensive literature review spanning hydraulic modeling of compressible fluids, existing and emerging leak detection technologies, anomaly detection using time-series machine learning, and hybrid physics-informed modeling approaches.</w:t>
      </w:r>
    </w:p>
    <w:p w14:paraId="1FF5AC8B" w14:textId="77777777" w:rsidR="00D3551C" w:rsidRPr="00D3551C" w:rsidRDefault="00D3551C" w:rsidP="00D3551C">
      <w:pPr>
        <w:pStyle w:val="NoSpacing"/>
        <w:numPr>
          <w:ilvl w:val="0"/>
          <w:numId w:val="10"/>
        </w:numPr>
      </w:pPr>
      <w:r w:rsidRPr="00D3551C">
        <w:t>The review yielded insights into model accuracy, sensitivity to leak dynamics, and the tradeoffs between traditional and modern approaches.</w:t>
      </w:r>
    </w:p>
    <w:p w14:paraId="2EE906F8" w14:textId="77777777" w:rsidR="00D3551C" w:rsidRPr="00D3551C" w:rsidRDefault="00D3551C" w:rsidP="00D3551C">
      <w:pPr>
        <w:pStyle w:val="NoSpacing"/>
        <w:numPr>
          <w:ilvl w:val="0"/>
          <w:numId w:val="10"/>
        </w:numPr>
      </w:pPr>
      <w:r w:rsidRPr="00D3551C">
        <w:t>These findings are actively guiding our experimental and proof-of-concept development efforts.</w:t>
      </w:r>
    </w:p>
    <w:p w14:paraId="1819E1AC" w14:textId="77777777" w:rsidR="00A25A94" w:rsidRDefault="00A25A94" w:rsidP="00D3551C">
      <w:pPr>
        <w:pStyle w:val="NoSpacing"/>
      </w:pPr>
    </w:p>
    <w:p w14:paraId="3CBD33F5" w14:textId="1C8AE903" w:rsidR="00D3551C" w:rsidRPr="00D3551C" w:rsidRDefault="00D3551C" w:rsidP="00D3551C">
      <w:pPr>
        <w:pStyle w:val="NoSpacing"/>
        <w:rPr>
          <w:u w:val="single"/>
        </w:rPr>
      </w:pPr>
      <w:r w:rsidRPr="00D3551C">
        <w:rPr>
          <w:u w:val="single"/>
        </w:rPr>
        <w:t>Item #5, Task #12, Submit 2nd Quarterly Report</w:t>
      </w:r>
    </w:p>
    <w:p w14:paraId="417F0C01" w14:textId="77777777" w:rsidR="00D3551C" w:rsidRDefault="00D3551C" w:rsidP="00D3551C">
      <w:pPr>
        <w:pStyle w:val="NoSpacing"/>
      </w:pPr>
      <w:r w:rsidRPr="00D3551C">
        <w:t>We completed and submitted the second quarterly internal report in compliance with project reporting requirements.</w:t>
      </w:r>
    </w:p>
    <w:p w14:paraId="16B27478" w14:textId="77777777" w:rsidR="00A25A94" w:rsidRPr="00D3551C" w:rsidRDefault="00A25A94" w:rsidP="00D3551C">
      <w:pPr>
        <w:pStyle w:val="NoSpacing"/>
      </w:pPr>
    </w:p>
    <w:p w14:paraId="41FC5F93" w14:textId="77777777" w:rsidR="00D3551C" w:rsidRPr="00D3551C" w:rsidRDefault="00D3551C" w:rsidP="00D3551C">
      <w:pPr>
        <w:pStyle w:val="NoSpacing"/>
        <w:rPr>
          <w:u w:val="single"/>
        </w:rPr>
      </w:pPr>
      <w:r w:rsidRPr="00D3551C">
        <w:rPr>
          <w:u w:val="single"/>
        </w:rPr>
        <w:t>Item #7, Task #6, Design Technical Experiments</w:t>
      </w:r>
    </w:p>
    <w:p w14:paraId="09EB62BF" w14:textId="77777777" w:rsidR="00D3551C" w:rsidRPr="00D3551C" w:rsidRDefault="00D3551C" w:rsidP="00D3551C">
      <w:pPr>
        <w:pStyle w:val="NoSpacing"/>
      </w:pPr>
      <w:r w:rsidRPr="00D3551C">
        <w:t>This task, originally scheduled for the following quarter, was completed ahead of schedule.</w:t>
      </w:r>
    </w:p>
    <w:p w14:paraId="2637F2C9" w14:textId="77777777" w:rsidR="00D3551C" w:rsidRPr="00D3551C" w:rsidRDefault="00D3551C" w:rsidP="00D3551C">
      <w:pPr>
        <w:pStyle w:val="NoSpacing"/>
        <w:numPr>
          <w:ilvl w:val="0"/>
          <w:numId w:val="11"/>
        </w:numPr>
      </w:pPr>
      <w:r w:rsidRPr="00D3551C">
        <w:t>The team developed a detailed experimental plan informed by both the literature review and operator consultations.</w:t>
      </w:r>
    </w:p>
    <w:p w14:paraId="4B69C1BD" w14:textId="77777777" w:rsidR="00D3551C" w:rsidRPr="00D3551C" w:rsidRDefault="00D3551C" w:rsidP="00D3551C">
      <w:pPr>
        <w:pStyle w:val="NoSpacing"/>
        <w:numPr>
          <w:ilvl w:val="0"/>
          <w:numId w:val="11"/>
        </w:numPr>
      </w:pPr>
      <w:r w:rsidRPr="00D3551C">
        <w:t>Test designs cover both physical and digital leak simulation scenarios, capturing various operational configurations including different flow rates, pressure regimes, and pipeline conditions.</w:t>
      </w:r>
    </w:p>
    <w:p w14:paraId="333A5CC2" w14:textId="77777777" w:rsidR="00D3551C" w:rsidRPr="00D3551C" w:rsidRDefault="00D3551C" w:rsidP="00D3551C">
      <w:pPr>
        <w:pStyle w:val="NoSpacing"/>
        <w:numPr>
          <w:ilvl w:val="0"/>
          <w:numId w:val="11"/>
        </w:numPr>
      </w:pPr>
      <w:r w:rsidRPr="00D3551C">
        <w:t>Data requirements, sensor needs, and system parameters were specified, including geospatial data for modeling and validation.</w:t>
      </w:r>
    </w:p>
    <w:p w14:paraId="610543EF" w14:textId="77777777" w:rsidR="00D3551C" w:rsidRPr="00D3551C" w:rsidRDefault="00D3551C" w:rsidP="00D3551C">
      <w:pPr>
        <w:pStyle w:val="NoSpacing"/>
        <w:numPr>
          <w:ilvl w:val="0"/>
          <w:numId w:val="11"/>
        </w:numPr>
      </w:pPr>
      <w:r w:rsidRPr="00D3551C">
        <w:t>The plan includes performance metrics to evaluate model outputs against existing industry-standard methods.</w:t>
      </w:r>
    </w:p>
    <w:p w14:paraId="7F79ACCE" w14:textId="77777777" w:rsidR="003066BF" w:rsidRDefault="003066BF" w:rsidP="003066BF">
      <w:pPr>
        <w:pStyle w:val="NoSpacing"/>
        <w:rPr>
          <w:b/>
        </w:rPr>
      </w:pPr>
    </w:p>
    <w:p w14:paraId="79E75B8F" w14:textId="77777777" w:rsidR="003066BF" w:rsidRDefault="003066BF" w:rsidP="003066BF">
      <w:pPr>
        <w:pStyle w:val="NoSpacing"/>
      </w:pPr>
      <w:r>
        <w:rPr>
          <w:b/>
        </w:rPr>
        <w:t xml:space="preserve">5: Project </w:t>
      </w:r>
      <w:r w:rsidRPr="001127DB">
        <w:rPr>
          <w:b/>
        </w:rPr>
        <w:t xml:space="preserve">Schedule </w:t>
      </w:r>
      <w:r>
        <w:rPr>
          <w:b/>
        </w:rPr>
        <w:t>–</w:t>
      </w:r>
      <w:r w:rsidRPr="0054195E">
        <w:t xml:space="preserve"> </w:t>
      </w:r>
    </w:p>
    <w:p w14:paraId="78BB01A8" w14:textId="77777777" w:rsidR="00964C7B" w:rsidRDefault="00964C7B" w:rsidP="00964C7B">
      <w:pPr>
        <w:pStyle w:val="NoSpacing"/>
      </w:pPr>
    </w:p>
    <w:p w14:paraId="25520312" w14:textId="77777777" w:rsidR="00964C7B" w:rsidRPr="00964C7B" w:rsidRDefault="00964C7B" w:rsidP="00964C7B">
      <w:pPr>
        <w:pStyle w:val="NoSpacing"/>
      </w:pPr>
      <w:r w:rsidRPr="00964C7B">
        <w:t>As of this reporting period, the project remains on schedule with no anticipated delays. Initial challenges related to partnership finalization have been resolved, and progress has accelerated across several key technical and planning activities. Below is a summary of ongoing work and upcoming milestones.</w:t>
      </w:r>
    </w:p>
    <w:p w14:paraId="3D77C2DB" w14:textId="77777777" w:rsidR="00964C7B" w:rsidRDefault="00964C7B" w:rsidP="00964C7B">
      <w:pPr>
        <w:pStyle w:val="NoSpacing"/>
      </w:pPr>
    </w:p>
    <w:p w14:paraId="564C92AB" w14:textId="393B92B4" w:rsidR="00964C7B" w:rsidRPr="00964C7B" w:rsidRDefault="00964C7B" w:rsidP="00964C7B">
      <w:pPr>
        <w:pStyle w:val="NoSpacing"/>
        <w:rPr>
          <w:u w:val="single"/>
        </w:rPr>
      </w:pPr>
      <w:r w:rsidRPr="00964C7B">
        <w:rPr>
          <w:u w:val="single"/>
        </w:rPr>
        <w:t>Data Collection and Testing Planning</w:t>
      </w:r>
    </w:p>
    <w:p w14:paraId="52A38EC0" w14:textId="77777777" w:rsidR="00964C7B" w:rsidRPr="00964C7B" w:rsidRDefault="00964C7B" w:rsidP="00964C7B">
      <w:pPr>
        <w:pStyle w:val="NoSpacing"/>
      </w:pPr>
      <w:r w:rsidRPr="00964C7B">
        <w:t>We are actively engaged in two parallel tracks for data collection and testing. With one operator, we are working through detailed planning efforts around the use of a decommissioned pipeline segment for controlled physical simulations, including research and logistical coordination. Simultaneously, we are in the midst of active data collection with another operator, involving real-time sensor data acquisition and preparations to obtain historical datasets for deeper analysis.</w:t>
      </w:r>
    </w:p>
    <w:p w14:paraId="2C7935B0" w14:textId="77777777" w:rsidR="00964C7B" w:rsidRDefault="00964C7B" w:rsidP="00964C7B">
      <w:pPr>
        <w:pStyle w:val="NoSpacing"/>
      </w:pPr>
    </w:p>
    <w:p w14:paraId="67A8336A" w14:textId="367B1FA1" w:rsidR="00964C7B" w:rsidRPr="00964C7B" w:rsidRDefault="00964C7B" w:rsidP="00964C7B">
      <w:pPr>
        <w:pStyle w:val="NoSpacing"/>
        <w:rPr>
          <w:u w:val="single"/>
        </w:rPr>
      </w:pPr>
      <w:r w:rsidRPr="00964C7B">
        <w:rPr>
          <w:u w:val="single"/>
        </w:rPr>
        <w:t>Proof-of-Concept Development</w:t>
      </w:r>
    </w:p>
    <w:p w14:paraId="3AC95747" w14:textId="77777777" w:rsidR="00964C7B" w:rsidRPr="00964C7B" w:rsidRDefault="00964C7B" w:rsidP="00964C7B">
      <w:pPr>
        <w:pStyle w:val="NoSpacing"/>
      </w:pPr>
      <w:r w:rsidRPr="00964C7B">
        <w:t>We are preparing to begin developing initial proof-of-concept models based on findings from our technical literature review and experiment design efforts. While originally slated for a future quarter, work is expected to begin ahead of schedule.</w:t>
      </w:r>
    </w:p>
    <w:p w14:paraId="38EA86FB" w14:textId="77777777" w:rsidR="00964C7B" w:rsidRDefault="00964C7B" w:rsidP="00964C7B">
      <w:pPr>
        <w:pStyle w:val="NoSpacing"/>
      </w:pPr>
    </w:p>
    <w:p w14:paraId="59261C9A" w14:textId="410D5E61" w:rsidR="00964C7B" w:rsidRPr="00964C7B" w:rsidRDefault="00964C7B" w:rsidP="00964C7B">
      <w:pPr>
        <w:pStyle w:val="NoSpacing"/>
        <w:rPr>
          <w:u w:val="single"/>
        </w:rPr>
      </w:pPr>
      <w:r w:rsidRPr="00964C7B">
        <w:rPr>
          <w:u w:val="single"/>
        </w:rPr>
        <w:t>Operational Data Analysis</w:t>
      </w:r>
    </w:p>
    <w:p w14:paraId="262429AC" w14:textId="77777777" w:rsidR="00964C7B" w:rsidRPr="00964C7B" w:rsidRDefault="00964C7B" w:rsidP="00964C7B">
      <w:pPr>
        <w:pStyle w:val="NoSpacing"/>
      </w:pPr>
      <w:r w:rsidRPr="00964C7B">
        <w:t>We plan to begin the analysis of collected operational data this quarter. This includes identifying early patterns or anomalies and implementing mitigation strategies where necessary. This work supports model training and evaluation and is progressing as ahead of schedule.</w:t>
      </w:r>
    </w:p>
    <w:p w14:paraId="47665CA3" w14:textId="77777777" w:rsidR="00964C7B" w:rsidRDefault="00964C7B" w:rsidP="00964C7B">
      <w:pPr>
        <w:pStyle w:val="NoSpacing"/>
      </w:pPr>
    </w:p>
    <w:p w14:paraId="545F6A46" w14:textId="18491990" w:rsidR="00964C7B" w:rsidRPr="00964C7B" w:rsidRDefault="00964C7B" w:rsidP="00964C7B">
      <w:pPr>
        <w:pStyle w:val="NoSpacing"/>
        <w:rPr>
          <w:u w:val="single"/>
        </w:rPr>
      </w:pPr>
      <w:r w:rsidRPr="00964C7B">
        <w:rPr>
          <w:u w:val="single"/>
        </w:rPr>
        <w:t>Physical Simulation Considerations</w:t>
      </w:r>
    </w:p>
    <w:p w14:paraId="6B7CE182" w14:textId="77777777" w:rsidR="00964C7B" w:rsidRPr="00964C7B" w:rsidRDefault="00964C7B" w:rsidP="00964C7B">
      <w:pPr>
        <w:pStyle w:val="NoSpacing"/>
      </w:pPr>
      <w:r w:rsidRPr="00964C7B">
        <w:t>One area of risk we are monitoring involves the ability to conduct physical leak withdrawal tests. Operational constraints may prevent one of our partners from executing live withdrawal scenarios as originally envisioned. In this case, we are prepared to rely on digital simulations or alternative test procedures such as rerouting product or bypassing meters. These approaches will continue to support robust evaluation of our technical solutions, though with some limitations to direct physical validation.</w:t>
      </w:r>
    </w:p>
    <w:p w14:paraId="1DD0D75D" w14:textId="77777777" w:rsidR="00AB6DD4" w:rsidRDefault="00AB6DD4" w:rsidP="00964C7B">
      <w:pPr>
        <w:pStyle w:val="NoSpacing"/>
        <w:rPr>
          <w:u w:val="single"/>
        </w:rPr>
      </w:pPr>
    </w:p>
    <w:p w14:paraId="30E42F83" w14:textId="3CBF9C02" w:rsidR="00964C7B" w:rsidRPr="00964C7B" w:rsidRDefault="00964C7B" w:rsidP="00964C7B">
      <w:pPr>
        <w:pStyle w:val="NoSpacing"/>
        <w:rPr>
          <w:u w:val="single"/>
        </w:rPr>
      </w:pPr>
      <w:r w:rsidRPr="00964C7B">
        <w:rPr>
          <w:u w:val="single"/>
        </w:rPr>
        <w:t>Summary</w:t>
      </w:r>
    </w:p>
    <w:p w14:paraId="3CFF9506" w14:textId="77777777" w:rsidR="00964C7B" w:rsidRPr="00964C7B" w:rsidRDefault="00964C7B" w:rsidP="00964C7B">
      <w:pPr>
        <w:pStyle w:val="NoSpacing"/>
      </w:pPr>
      <w:r w:rsidRPr="00964C7B">
        <w:t>With foundational partnership agreements in place and key planning activities well underway, the project remains on track. The upcoming period will focus on expanding data collection and initiating technical development activities.</w:t>
      </w:r>
    </w:p>
    <w:p w14:paraId="23235E24" w14:textId="77777777" w:rsidR="008E0963" w:rsidRDefault="008E0963" w:rsidP="00964C7B">
      <w:pPr>
        <w:pStyle w:val="NoSpacing"/>
      </w:pPr>
    </w:p>
    <w:sectPr w:rsidR="008E0963" w:rsidSect="0038660D">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5A276" w14:textId="77777777" w:rsidR="00895B44" w:rsidRDefault="00895B44">
      <w:r>
        <w:separator/>
      </w:r>
    </w:p>
  </w:endnote>
  <w:endnote w:type="continuationSeparator" w:id="0">
    <w:p w14:paraId="3DCD112C" w14:textId="77777777" w:rsidR="00895B44" w:rsidRDefault="0089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75CB" w14:textId="77777777" w:rsidR="009A642A" w:rsidRPr="003F0783" w:rsidRDefault="009A642A">
    <w:pPr>
      <w:pStyle w:val="Footer"/>
      <w:rPr>
        <w:b/>
        <w:sz w:val="18"/>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F3EDB" w14:textId="77777777" w:rsidR="00895B44" w:rsidRDefault="00895B44">
      <w:r>
        <w:separator/>
      </w:r>
    </w:p>
  </w:footnote>
  <w:footnote w:type="continuationSeparator" w:id="0">
    <w:p w14:paraId="6D9D4F3E" w14:textId="77777777" w:rsidR="00895B44" w:rsidRDefault="0089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6917"/>
    <w:multiLevelType w:val="hybridMultilevel"/>
    <w:tmpl w:val="39443D80"/>
    <w:lvl w:ilvl="0" w:tplc="7810858E">
      <w:numFmt w:val="bullet"/>
      <w:lvlText w:val=""/>
      <w:lvlJc w:val="left"/>
      <w:pPr>
        <w:tabs>
          <w:tab w:val="num" w:pos="2160"/>
        </w:tabs>
        <w:ind w:left="2160" w:hanging="360"/>
      </w:pPr>
      <w:rPr>
        <w:rFonts w:ascii="Symbol" w:eastAsia="Times New Roman" w:hAnsi="Symbol" w:cs="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DFF4D55"/>
    <w:multiLevelType w:val="hybridMultilevel"/>
    <w:tmpl w:val="D884C522"/>
    <w:lvl w:ilvl="0" w:tplc="FEBE7A70">
      <w:start w:val="5"/>
      <w:numFmt w:val="bullet"/>
      <w:lvlText w:val=""/>
      <w:lvlJc w:val="left"/>
      <w:pPr>
        <w:tabs>
          <w:tab w:val="num" w:pos="2520"/>
        </w:tabs>
        <w:ind w:left="2520" w:hanging="360"/>
      </w:pPr>
      <w:rPr>
        <w:rFonts w:ascii="Symbol" w:eastAsia="Times New Roman" w:hAnsi="Symbol" w:cs="Tahoma"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3AC84944"/>
    <w:multiLevelType w:val="hybridMultilevel"/>
    <w:tmpl w:val="F8882F9C"/>
    <w:lvl w:ilvl="0" w:tplc="FEBE7A70">
      <w:start w:val="5"/>
      <w:numFmt w:val="bullet"/>
      <w:lvlText w:val=""/>
      <w:lvlJc w:val="left"/>
      <w:pPr>
        <w:tabs>
          <w:tab w:val="num" w:pos="1656"/>
        </w:tabs>
        <w:ind w:left="1656" w:hanging="360"/>
      </w:pPr>
      <w:rPr>
        <w:rFonts w:ascii="Symbol" w:eastAsia="Times New Roman" w:hAnsi="Symbol" w:cs="Tahoma" w:hint="default"/>
      </w:rPr>
    </w:lvl>
    <w:lvl w:ilvl="1" w:tplc="04090003" w:tentative="1">
      <w:start w:val="1"/>
      <w:numFmt w:val="bullet"/>
      <w:lvlText w:val="o"/>
      <w:lvlJc w:val="left"/>
      <w:pPr>
        <w:tabs>
          <w:tab w:val="num" w:pos="2376"/>
        </w:tabs>
        <w:ind w:left="2376" w:hanging="360"/>
      </w:pPr>
      <w:rPr>
        <w:rFonts w:ascii="Courier New" w:hAnsi="Courier New" w:cs="Symbol"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Symbol"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Symbol"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3" w15:restartNumberingAfterBreak="0">
    <w:nsid w:val="54EB733D"/>
    <w:multiLevelType w:val="multilevel"/>
    <w:tmpl w:val="6BD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139FB"/>
    <w:multiLevelType w:val="hybridMultilevel"/>
    <w:tmpl w:val="27C03AD6"/>
    <w:lvl w:ilvl="0" w:tplc="FEBE7A70">
      <w:start w:val="5"/>
      <w:numFmt w:val="bullet"/>
      <w:lvlText w:val=""/>
      <w:lvlJc w:val="left"/>
      <w:pPr>
        <w:tabs>
          <w:tab w:val="num" w:pos="1656"/>
        </w:tabs>
        <w:ind w:left="1656" w:hanging="360"/>
      </w:pPr>
      <w:rPr>
        <w:rFonts w:ascii="Symbol" w:eastAsia="Times New Roman" w:hAnsi="Symbol" w:cs="Tahoma" w:hint="default"/>
      </w:rPr>
    </w:lvl>
    <w:lvl w:ilvl="1" w:tplc="04090003" w:tentative="1">
      <w:start w:val="1"/>
      <w:numFmt w:val="bullet"/>
      <w:lvlText w:val="o"/>
      <w:lvlJc w:val="left"/>
      <w:pPr>
        <w:tabs>
          <w:tab w:val="num" w:pos="2376"/>
        </w:tabs>
        <w:ind w:left="2376" w:hanging="360"/>
      </w:pPr>
      <w:rPr>
        <w:rFonts w:ascii="Courier New" w:hAnsi="Courier New" w:cs="Symbol"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Symbol"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Symbol"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5" w15:restartNumberingAfterBreak="0">
    <w:nsid w:val="6A4107F2"/>
    <w:multiLevelType w:val="multilevel"/>
    <w:tmpl w:val="03D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D79E8"/>
    <w:multiLevelType w:val="hybridMultilevel"/>
    <w:tmpl w:val="3C3A0CB6"/>
    <w:lvl w:ilvl="0" w:tplc="7810858E">
      <w:numFmt w:val="bullet"/>
      <w:lvlText w:val=""/>
      <w:lvlJc w:val="left"/>
      <w:pPr>
        <w:tabs>
          <w:tab w:val="num" w:pos="2700"/>
        </w:tabs>
        <w:ind w:left="2700" w:hanging="360"/>
      </w:pPr>
      <w:rPr>
        <w:rFonts w:ascii="Symbol" w:eastAsia="Times New Roman" w:hAnsi="Symbol" w:cs="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1871728"/>
    <w:multiLevelType w:val="multilevel"/>
    <w:tmpl w:val="370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055D6"/>
    <w:multiLevelType w:val="hybridMultilevel"/>
    <w:tmpl w:val="7B8AFC88"/>
    <w:lvl w:ilvl="0" w:tplc="FEBE7A70">
      <w:start w:val="5"/>
      <w:numFmt w:val="bullet"/>
      <w:lvlText w:val=""/>
      <w:lvlJc w:val="left"/>
      <w:pPr>
        <w:tabs>
          <w:tab w:val="num" w:pos="1656"/>
        </w:tabs>
        <w:ind w:left="1656" w:hanging="360"/>
      </w:pPr>
      <w:rPr>
        <w:rFonts w:ascii="Symbol" w:eastAsia="Times New Roman" w:hAnsi="Symbol" w:cs="Tahoma" w:hint="default"/>
      </w:rPr>
    </w:lvl>
    <w:lvl w:ilvl="1" w:tplc="04090003" w:tentative="1">
      <w:start w:val="1"/>
      <w:numFmt w:val="bullet"/>
      <w:lvlText w:val="o"/>
      <w:lvlJc w:val="left"/>
      <w:pPr>
        <w:tabs>
          <w:tab w:val="num" w:pos="2376"/>
        </w:tabs>
        <w:ind w:left="2376" w:hanging="360"/>
      </w:pPr>
      <w:rPr>
        <w:rFonts w:ascii="Courier New" w:hAnsi="Courier New" w:cs="Symbol"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Symbol"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Symbol"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9" w15:restartNumberingAfterBreak="0">
    <w:nsid w:val="7D6B410D"/>
    <w:multiLevelType w:val="multilevel"/>
    <w:tmpl w:val="C80C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3734D"/>
    <w:multiLevelType w:val="hybridMultilevel"/>
    <w:tmpl w:val="5E766D3A"/>
    <w:lvl w:ilvl="0" w:tplc="7810858E">
      <w:numFmt w:val="bullet"/>
      <w:lvlText w:val=""/>
      <w:lvlJc w:val="left"/>
      <w:pPr>
        <w:tabs>
          <w:tab w:val="num" w:pos="2700"/>
        </w:tabs>
        <w:ind w:left="2700" w:hanging="360"/>
      </w:pPr>
      <w:rPr>
        <w:rFonts w:ascii="Symbol" w:eastAsia="Times New Roman" w:hAnsi="Symbol" w:cs="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10420948">
    <w:abstractNumId w:val="8"/>
  </w:num>
  <w:num w:numId="2" w16cid:durableId="712071815">
    <w:abstractNumId w:val="2"/>
  </w:num>
  <w:num w:numId="3" w16cid:durableId="625740133">
    <w:abstractNumId w:val="4"/>
  </w:num>
  <w:num w:numId="4" w16cid:durableId="191919491">
    <w:abstractNumId w:val="1"/>
  </w:num>
  <w:num w:numId="5" w16cid:durableId="1647129859">
    <w:abstractNumId w:val="0"/>
  </w:num>
  <w:num w:numId="6" w16cid:durableId="1602487794">
    <w:abstractNumId w:val="6"/>
  </w:num>
  <w:num w:numId="7" w16cid:durableId="1402169350">
    <w:abstractNumId w:val="10"/>
  </w:num>
  <w:num w:numId="8" w16cid:durableId="1075281774">
    <w:abstractNumId w:val="7"/>
  </w:num>
  <w:num w:numId="9" w16cid:durableId="240451859">
    <w:abstractNumId w:val="9"/>
  </w:num>
  <w:num w:numId="10" w16cid:durableId="293407453">
    <w:abstractNumId w:val="3"/>
  </w:num>
  <w:num w:numId="11" w16cid:durableId="125514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B53"/>
    <w:rsid w:val="003066BF"/>
    <w:rsid w:val="0038660D"/>
    <w:rsid w:val="00472ACF"/>
    <w:rsid w:val="00495A82"/>
    <w:rsid w:val="0052561A"/>
    <w:rsid w:val="00600153"/>
    <w:rsid w:val="006B1A3D"/>
    <w:rsid w:val="00723C33"/>
    <w:rsid w:val="00736A89"/>
    <w:rsid w:val="00895B44"/>
    <w:rsid w:val="008E0963"/>
    <w:rsid w:val="00904CC7"/>
    <w:rsid w:val="00964C7B"/>
    <w:rsid w:val="009A642A"/>
    <w:rsid w:val="009E6C5A"/>
    <w:rsid w:val="00A25A94"/>
    <w:rsid w:val="00A2767B"/>
    <w:rsid w:val="00A91036"/>
    <w:rsid w:val="00AB6DD4"/>
    <w:rsid w:val="00AE2AA6"/>
    <w:rsid w:val="00D3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CD566"/>
  <w15:chartTrackingRefBased/>
  <w15:docId w15:val="{2FEB86B5-8EE6-409C-936F-2DBB7B46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74233"/>
    <w:rPr>
      <w:rFonts w:ascii="Tahoma" w:hAnsi="Tahoma" w:cs="Tahoma"/>
      <w:sz w:val="16"/>
      <w:szCs w:val="16"/>
    </w:rPr>
  </w:style>
  <w:style w:type="paragraph" w:styleId="Header">
    <w:name w:val="header"/>
    <w:basedOn w:val="Normal"/>
    <w:rsid w:val="003F0783"/>
    <w:pPr>
      <w:tabs>
        <w:tab w:val="center" w:pos="4320"/>
        <w:tab w:val="right" w:pos="8640"/>
      </w:tabs>
    </w:pPr>
  </w:style>
  <w:style w:type="paragraph" w:styleId="Footer">
    <w:name w:val="footer"/>
    <w:basedOn w:val="Normal"/>
    <w:semiHidden/>
    <w:rsid w:val="003F0783"/>
    <w:pPr>
      <w:tabs>
        <w:tab w:val="center" w:pos="4320"/>
        <w:tab w:val="right" w:pos="8640"/>
      </w:tabs>
    </w:pPr>
  </w:style>
  <w:style w:type="paragraph" w:styleId="NoSpacing">
    <w:name w:val="No Spacing"/>
    <w:uiPriority w:val="1"/>
    <w:qFormat/>
    <w:rsid w:val="00600153"/>
    <w:rPr>
      <w:sz w:val="24"/>
      <w:szCs w:val="24"/>
    </w:rPr>
  </w:style>
  <w:style w:type="character" w:styleId="Hyperlink">
    <w:name w:val="Hyperlink"/>
    <w:uiPriority w:val="99"/>
    <w:unhideWhenUsed/>
    <w:rsid w:val="00472AC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2305">
      <w:bodyDiv w:val="1"/>
      <w:marLeft w:val="0"/>
      <w:marRight w:val="0"/>
      <w:marTop w:val="0"/>
      <w:marBottom w:val="0"/>
      <w:divBdr>
        <w:top w:val="none" w:sz="0" w:space="0" w:color="auto"/>
        <w:left w:val="none" w:sz="0" w:space="0" w:color="auto"/>
        <w:bottom w:val="none" w:sz="0" w:space="0" w:color="auto"/>
        <w:right w:val="none" w:sz="0" w:space="0" w:color="auto"/>
      </w:divBdr>
    </w:div>
    <w:div w:id="539786983">
      <w:bodyDiv w:val="1"/>
      <w:marLeft w:val="0"/>
      <w:marRight w:val="0"/>
      <w:marTop w:val="0"/>
      <w:marBottom w:val="0"/>
      <w:divBdr>
        <w:top w:val="none" w:sz="0" w:space="0" w:color="auto"/>
        <w:left w:val="none" w:sz="0" w:space="0" w:color="auto"/>
        <w:bottom w:val="none" w:sz="0" w:space="0" w:color="auto"/>
        <w:right w:val="none" w:sz="0" w:space="0" w:color="auto"/>
      </w:divBdr>
    </w:div>
    <w:div w:id="1108043507">
      <w:bodyDiv w:val="1"/>
      <w:marLeft w:val="0"/>
      <w:marRight w:val="0"/>
      <w:marTop w:val="0"/>
      <w:marBottom w:val="0"/>
      <w:divBdr>
        <w:top w:val="none" w:sz="0" w:space="0" w:color="auto"/>
        <w:left w:val="none" w:sz="0" w:space="0" w:color="auto"/>
        <w:bottom w:val="none" w:sz="0" w:space="0" w:color="auto"/>
        <w:right w:val="none" w:sz="0" w:space="0" w:color="auto"/>
      </w:divBdr>
    </w:div>
    <w:div w:id="11673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braden.fitzgerald@flowstatesolutions.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6BDAA6F997D45B19B3138CD83002E" ma:contentTypeVersion="6" ma:contentTypeDescription="Create a new document." ma:contentTypeScope="" ma:versionID="ba48936acf2c0be2d09c4575e81220db">
  <xsd:schema xmlns:xsd="http://www.w3.org/2001/XMLSchema" xmlns:xs="http://www.w3.org/2001/XMLSchema" xmlns:p="http://schemas.microsoft.com/office/2006/metadata/properties" xmlns:ns1="http://schemas.microsoft.com/sharepoint/v3" xmlns:ns2="c9b570eb-ac08-4c08-a457-2c1359cc2c3e" targetNamespace="http://schemas.microsoft.com/office/2006/metadata/properties" ma:root="true" ma:fieldsID="d26e3de463a153d01c654c9f694685d1" ns1:_="" ns2:_="">
    <xsd:import namespace="http://schemas.microsoft.com/sharepoint/v3"/>
    <xsd:import namespace="c9b570eb-ac08-4c08-a457-2c1359cc2c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b570eb-ac08-4c08-a457-2c1359cc2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2E6076-0FAC-41B7-A620-FCF0BBD16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b570eb-ac08-4c08-a457-2c1359cc2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8AD87-41A4-4CDE-84B4-91214A5A7896}">
  <ds:schemaRefs>
    <ds:schemaRef ds:uri="http://schemas.microsoft.com/sharepoint/v3/contenttype/forms"/>
  </ds:schemaRefs>
</ds:datastoreItem>
</file>

<file path=customXml/itemProps3.xml><?xml version="1.0" encoding="utf-8"?>
<ds:datastoreItem xmlns:ds="http://schemas.openxmlformats.org/officeDocument/2006/customXml" ds:itemID="{818789BF-D5F3-4475-A5A9-DFE240A5CA65}">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4815091d-e9a5-4461-86f4-71d07d37b1bd}" enabled="0" method="" siteId="{4815091d-e9a5-4461-86f4-71d07d37b1bd}" removed="1"/>
</clbl:labelList>
</file>

<file path=docProps/app.xml><?xml version="1.0" encoding="utf-8"?>
<Properties xmlns="http://schemas.openxmlformats.org/officeDocument/2006/extended-properties" xmlns:vt="http://schemas.openxmlformats.org/officeDocument/2006/docPropsVTypes">
  <Template>Normal.dotm</Template>
  <TotalTime>4328</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Quarterly Report</vt:lpstr>
    </vt:vector>
  </TitlesOfParts>
  <Company>Paxian Corporation</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dc:title>
  <dc:subject/>
  <dc:creator>Mary Lockhart</dc:creator>
  <cp:keywords/>
  <dc:description/>
  <cp:lastModifiedBy>Braden Fitz-Gerald</cp:lastModifiedBy>
  <cp:revision>12</cp:revision>
  <dcterms:created xsi:type="dcterms:W3CDTF">2025-03-27T16:34:00Z</dcterms:created>
  <dcterms:modified xsi:type="dcterms:W3CDTF">2025-03-31T19:16:00Z</dcterms:modified>
</cp:coreProperties>
</file>